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spacing w:before="120" w:beforeAutospacing="0" w:after="120" w:afterAutospacing="0" w:line="360" w:lineRule="auto"/>
        <w:rPr>
          <w:color w:val="auto"/>
          <w:highlight w:val="none"/>
        </w:rPr>
      </w:pPr>
      <w:r>
        <w:rPr>
          <w:color w:val="auto"/>
          <w:highlight w:val="none"/>
        </w:rPr>
        <w:t xml:space="preserve"> </w:t>
      </w:r>
      <w:r/>
    </w:p>
    <w:p>
      <w:pPr>
        <w:pStyle w:val="108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08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1086"/>
        <w:jc w:val="both"/>
        <w:spacing w:before="120" w:beforeAutospacing="0" w:after="120" w:afterAutospacing="0" w:line="360" w:lineRule="auto"/>
        <w:rPr>
          <w:rFonts w:ascii="Arial" w:hAnsi="Arial" w:cs="Arial"/>
          <w:b/>
          <w:color w:val="auto"/>
          <w:sz w:val="48"/>
          <w:szCs w:val="48"/>
          <w:highlight w:val="none"/>
        </w:rPr>
      </w:pPr>
      <w:r>
        <w:rPr>
          <w:rFonts w:ascii="Arial" w:hAnsi="Arial" w:cs="Arial"/>
          <w:b/>
          <w:color w:val="auto"/>
          <w:sz w:val="48"/>
          <w:szCs w:val="48"/>
          <w:highlight w:val="none"/>
        </w:rPr>
      </w:r>
      <w:r/>
    </w:p>
    <w:p>
      <w:pPr>
        <w:pStyle w:val="108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86"/>
        <w:jc w:val="center"/>
        <w:spacing w:before="120" w:beforeAutospacing="0" w:after="120" w:afterAutospacing="0" w:line="360" w:lineRule="auto"/>
        <w:rPr>
          <w:rFonts w:hint="default" w:ascii="Arial" w:hAnsi="Arial" w:cs="Arial" w:eastAsiaTheme="minorEastAsia"/>
          <w:b/>
          <w:color w:val="auto"/>
          <w:sz w:val="24"/>
          <w:szCs w:val="24"/>
          <w:highlight w:val="none"/>
          <w:lang w:eastAsia="zh-CN"/>
        </w:rPr>
      </w:pPr>
      <w:r>
        <w:rPr>
          <w:rFonts w:ascii="Arial" w:hAnsi="Arial" w:cs="Arial"/>
          <w:b/>
          <w:color w:val="auto"/>
          <w:sz w:val="28"/>
          <w:szCs w:val="28"/>
          <w:highlight w:val="none"/>
        </w:rPr>
        <w:t xml:space="preserve">项目名称：</w:t>
      </w:r>
      <w:r>
        <w:rPr>
          <w:rFonts w:hint="eastAsia" w:ascii="宋体"/>
          <w:b/>
          <w:color w:val="auto"/>
          <w:sz w:val="32"/>
          <w:szCs w:val="32"/>
          <w:highlight w:val="none"/>
          <w:lang w:eastAsia="zh-CN"/>
        </w:rPr>
        <w:t xml:space="preserve">长荡镇胜利桥工业园区（西区）雨水管网改造提升项目</w:t>
      </w:r>
      <w:r/>
    </w:p>
    <w:p>
      <w:pPr>
        <w:pStyle w:val="1086"/>
        <w:ind w:firstLine="1281"/>
        <w:spacing w:before="120" w:beforeAutospacing="0" w:after="120" w:afterAutospacing="0" w:line="360" w:lineRule="auto"/>
        <w:rPr>
          <w:rFonts w:hint="default" w:ascii="Arial" w:hAnsi="Arial" w:eastAsia="宋体" w:cs="Arial"/>
          <w:b/>
          <w:color w:val="auto"/>
          <w:sz w:val="32"/>
          <w:szCs w:val="32"/>
          <w:highlight w:val="none"/>
          <w:lang w:val="en-US" w:eastAsia="zh-CN"/>
        </w:rPr>
      </w:pPr>
      <w:r>
        <w:rPr>
          <w:rFonts w:ascii="Arial" w:hAnsi="Arial" w:cs="Arial"/>
          <w:b/>
          <w:color w:val="auto"/>
          <w:sz w:val="32"/>
          <w:szCs w:val="32"/>
          <w:highlight w:val="none"/>
        </w:rPr>
        <w:t xml:space="preserve">项目编号：</w:t>
      </w:r>
      <w:r>
        <w:rPr>
          <w:rFonts w:ascii="Segoe UI" w:hAnsi="Segoe UI" w:eastAsia="Segoe UI" w:cs="Segoe UI"/>
          <w:i w:val="0"/>
          <w:iCs w:val="0"/>
          <w:caps w:val="0"/>
          <w:color w:val="auto"/>
          <w:spacing w:val="0"/>
          <w:sz w:val="28"/>
          <w:szCs w:val="28"/>
          <w:highlight w:val="none"/>
          <w:shd w:val="clear" w:color="auto" w:fill="ffffff"/>
        </w:rPr>
        <w:t xml:space="preserve">JSZC-320924-YCXD-C2026-0002</w:t>
      </w:r>
      <w:r/>
    </w:p>
    <w:p>
      <w:pPr>
        <w:pStyle w:val="1086"/>
        <w:ind w:firstLine="2249"/>
        <w:spacing w:before="120" w:beforeAutospacing="0" w:after="120" w:afterAutospacing="0" w:line="360" w:lineRule="auto"/>
        <w:rPr>
          <w:color w:val="auto"/>
          <w:highlight w:val="none"/>
        </w:rPr>
      </w:pPr>
      <w:r>
        <w:rPr>
          <w:rFonts w:ascii="Times New Roman" w:hAnsi="Times New Roman"/>
          <w:b/>
          <w:color w:val="auto"/>
          <w:sz w:val="30"/>
          <w:szCs w:val="30"/>
          <w:highlight w:val="none"/>
        </w:rPr>
        <w:t xml:space="preserve">  </w:t>
      </w:r>
      <w:r/>
    </w:p>
    <w:p>
      <w:pPr>
        <w:pStyle w:val="1086"/>
        <w:spacing w:beforeAutospacing="0" w:afterAutospacing="0" w:line="360" w:lineRule="auto"/>
        <w:rPr>
          <w:color w:val="auto"/>
          <w:highlight w:val="none"/>
        </w:rPr>
      </w:pPr>
      <w:r>
        <w:rPr>
          <w:color w:val="auto"/>
          <w:highlight w:val="none"/>
        </w:rPr>
        <w:t xml:space="preserve"> </w:t>
      </w:r>
      <w:r/>
    </w:p>
    <w:p>
      <w:pPr>
        <w:pStyle w:val="1086"/>
        <w:spacing w:beforeAutospacing="0" w:afterAutospacing="0" w:line="360" w:lineRule="auto"/>
        <w:rPr>
          <w:color w:val="auto"/>
          <w:highlight w:val="none"/>
        </w:rPr>
      </w:pPr>
      <w:r>
        <w:rPr>
          <w:color w:val="auto"/>
          <w:highlight w:val="none"/>
        </w:rPr>
        <w:t xml:space="preserve"> </w:t>
      </w:r>
      <w:r/>
    </w:p>
    <w:p>
      <w:pPr>
        <w:pStyle w:val="1086"/>
        <w:spacing w:beforeAutospacing="0" w:afterAutospacing="0" w:line="360" w:lineRule="auto"/>
        <w:rPr>
          <w:color w:val="auto"/>
          <w:highlight w:val="none"/>
        </w:rPr>
      </w:pPr>
      <w:r>
        <w:rPr>
          <w:color w:val="auto"/>
          <w:highlight w:val="none"/>
        </w:rPr>
        <w:t xml:space="preserve"> </w:t>
      </w:r>
      <w:r/>
    </w:p>
    <w:p>
      <w:pPr>
        <w:pStyle w:val="1086"/>
        <w:spacing w:beforeAutospacing="0" w:afterAutospacing="0" w:line="360" w:lineRule="auto"/>
        <w:rPr>
          <w:color w:val="auto"/>
          <w:highlight w:val="none"/>
        </w:rPr>
      </w:pPr>
      <w:r>
        <w:rPr>
          <w:color w:val="auto"/>
          <w:highlight w:val="none"/>
        </w:rPr>
      </w:r>
      <w:r/>
    </w:p>
    <w:p>
      <w:pPr>
        <w:pStyle w:val="1086"/>
        <w:ind w:firstLine="643"/>
        <w:keepLines w:val="0"/>
        <w:keepNext w:val="0"/>
        <w:pageBreakBefore w:val="0"/>
        <w:spacing w:beforeAutospacing="0" w:afterAutospacing="0" w:line="800" w:lineRule="exact"/>
        <w:widowControl w:val="off"/>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   购   人：</w:t>
      </w:r>
      <w:r>
        <w:rPr>
          <w:rFonts w:hint="eastAsia" w:ascii="Arial" w:hAnsi="Arial" w:cs="Arial"/>
          <w:b/>
          <w:color w:val="auto"/>
          <w:sz w:val="32"/>
          <w:szCs w:val="32"/>
          <w:highlight w:val="none"/>
          <w:lang w:eastAsia="zh-CN"/>
        </w:rPr>
        <w:t xml:space="preserve">射阳县长荡镇人民政府</w:t>
      </w:r>
      <w:r/>
    </w:p>
    <w:p>
      <w:pPr>
        <w:pStyle w:val="1086"/>
        <w:ind w:firstLine="643"/>
        <w:keepLines w:val="0"/>
        <w:keepNext w:val="0"/>
        <w:pageBreakBefore w:val="0"/>
        <w:spacing w:beforeAutospacing="0" w:afterAutospacing="0" w:line="800" w:lineRule="exact"/>
        <w:widowControl w:val="off"/>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采购代理机构：</w:t>
      </w:r>
      <w:r>
        <w:rPr>
          <w:rFonts w:hint="eastAsia" w:ascii="Arial" w:hAnsi="Arial" w:cs="Arial"/>
          <w:b/>
          <w:color w:val="auto"/>
          <w:sz w:val="32"/>
          <w:szCs w:val="32"/>
          <w:highlight w:val="none"/>
          <w:lang w:val="en-US" w:eastAsia="zh-CN"/>
        </w:rPr>
        <w:t xml:space="preserve">盐城现代建设工程项目管理有限公司</w:t>
      </w:r>
      <w:r/>
    </w:p>
    <w:p>
      <w:pPr>
        <w:ind w:firstLine="2530"/>
        <w:jc w:val="both"/>
        <w:keepLines w:val="0"/>
        <w:keepNext w:val="0"/>
        <w:pageBreakBefore w:val="0"/>
        <w:spacing w:line="80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2"/>
          <w:szCs w:val="28"/>
          <w:highlight w:val="none"/>
        </w:rPr>
        <w:t xml:space="preserve">日   期：</w:t>
      </w:r>
      <w:r>
        <w:rPr>
          <w:rFonts w:hint="eastAsia" w:ascii="宋体" w:hAnsi="宋体" w:eastAsia="宋体" w:cs="宋体"/>
          <w:b/>
          <w:bCs/>
          <w:color w:val="auto"/>
          <w:sz w:val="32"/>
          <w:szCs w:val="28"/>
          <w:highlight w:val="none"/>
          <w:lang w:val="en-US" w:eastAsia="zh-CN"/>
        </w:rPr>
        <w:t xml:space="preserve">2026</w:t>
      </w:r>
      <w:r>
        <w:rPr>
          <w:rFonts w:hint="eastAsia" w:ascii="宋体" w:hAnsi="宋体" w:eastAsia="宋体" w:cs="宋体"/>
          <w:b/>
          <w:bCs/>
          <w:color w:val="auto"/>
          <w:sz w:val="32"/>
          <w:szCs w:val="28"/>
          <w:highlight w:val="none"/>
          <w:lang w:eastAsia="zh-CN"/>
        </w:rPr>
        <w:t xml:space="preserve">年</w:t>
      </w:r>
      <w:r>
        <w:rPr>
          <w:rFonts w:hint="eastAsia" w:ascii="宋体" w:hAnsi="宋体" w:eastAsia="宋体" w:cs="宋体"/>
          <w:b/>
          <w:bCs/>
          <w:color w:val="auto"/>
          <w:sz w:val="32"/>
          <w:szCs w:val="28"/>
          <w:highlight w:val="none"/>
          <w:lang w:val="en-US" w:eastAsia="zh-CN"/>
        </w:rPr>
        <w:t xml:space="preserve">05</w:t>
      </w:r>
      <w:r>
        <w:rPr>
          <w:rFonts w:hint="eastAsia" w:ascii="宋体" w:hAnsi="宋体" w:eastAsia="宋体" w:cs="宋体"/>
          <w:b/>
          <w:bCs/>
          <w:color w:val="auto"/>
          <w:sz w:val="32"/>
          <w:szCs w:val="28"/>
          <w:highlight w:val="none"/>
          <w:lang w:eastAsia="zh-CN"/>
        </w:rPr>
        <w:t xml:space="preserve">月</w:t>
      </w:r>
      <w:r/>
    </w:p>
    <w:p>
      <w:pPr>
        <w:pStyle w:val="108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1086"/>
        <w:jc w:val="center"/>
        <w:spacing w:before="120" w:beforeAutospacing="0" w:after="120" w:afterAutospacing="0" w:line="360" w:lineRule="auto"/>
        <w:rPr>
          <w:color w:val="auto"/>
          <w:highlight w:val="none"/>
        </w:rPr>
      </w:pPr>
      <w:r>
        <w:rPr>
          <w:color w:val="auto"/>
          <w:highlight w:val="none"/>
        </w:rPr>
        <w:t xml:space="preserve"> </w:t>
      </w:r>
      <w:r/>
    </w:p>
    <w:p>
      <w:pPr>
        <w:pStyle w:val="108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rPr>
          <w:rFonts w:ascii="Times New Roman" w:hAnsi="Times New Roman"/>
          <w:color w:val="auto"/>
          <w:sz w:val="21"/>
          <w:szCs w:val="21"/>
          <w:highlight w:val="none"/>
        </w:rPr>
      </w:r>
    </w:p>
    <w:p>
      <w:pPr>
        <w:pStyle w:val="108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086"/>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20614210"/>
      <w:r/>
      <w:bookmarkStart w:id="2" w:name="_Toc479757206"/>
      <w:r/>
      <w:bookmarkStart w:id="3" w:name="_Toc523127445"/>
      <w:r/>
      <w:bookmarkStart w:id="4" w:name="_Toc20823272"/>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086"/>
        <w:jc w:val="both"/>
        <w:spacing w:beforeAutospacing="0" w:afterAutospacing="0" w:line="480" w:lineRule="auto"/>
        <w:rPr>
          <w:color w:val="auto"/>
          <w:highlight w:val="none"/>
        </w:rPr>
      </w:pPr>
      <w:r>
        <w:rPr>
          <w:color w:val="auto"/>
          <w:highlight w:val="none"/>
        </w:rPr>
        <w:t xml:space="preserve"> </w:t>
      </w:r>
      <w:r/>
    </w:p>
    <w:p>
      <w:pPr>
        <w:pStyle w:val="1086"/>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108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6</w:t>
      </w:r>
      <w:r>
        <w:rPr>
          <w:rFonts w:hint="eastAsia" w:ascii="黑体" w:hAnsi="宋体" w:eastAsia="黑体" w:cs="黑体"/>
          <w:color w:val="auto"/>
          <w:sz w:val="36"/>
          <w:szCs w:val="36"/>
          <w:highlight w:val="none"/>
        </w:rPr>
        <w:t xml:space="preserve">  </w:t>
      </w:r>
      <w:r/>
    </w:p>
    <w:p>
      <w:pPr>
        <w:pStyle w:val="108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20</w:t>
      </w:r>
      <w:r/>
    </w:p>
    <w:p>
      <w:pPr>
        <w:pStyle w:val="108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68</w:t>
      </w:r>
      <w:r/>
    </w:p>
    <w:p>
      <w:pPr>
        <w:pStyle w:val="108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70   </w:t>
      </w:r>
      <w:r/>
    </w:p>
    <w:p>
      <w:pPr>
        <w:pStyle w:val="108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75</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sectPr>
          <w:headerReference w:type="default" r:id="rId9"/>
          <w:headerReference w:type="first" r:id="rId10"/>
          <w:footerReference w:type="default" r:id="rId13"/>
          <w:footnotePr/>
          <w:endnotePr/>
          <w:type w:val="nextPage"/>
          <w:pgSz w:w="11906" w:h="16838" w:orient="portrait"/>
          <w:pgMar w:top="1418" w:right="1304" w:bottom="1418" w:left="1304" w:header="851" w:footer="992" w:gutter="0"/>
          <w:cols w:num="1" w:sep="0" w:space="720" w:equalWidth="1"/>
          <w:docGrid w:linePitch="360"/>
          <w:titlePg/>
        </w:sectPr>
      </w:pPr>
      <w:r>
        <w:rPr>
          <w:color w:val="auto"/>
          <w:highlight w:val="none"/>
        </w:rPr>
      </w:r>
      <w:r/>
    </w:p>
    <w:p>
      <w:pPr>
        <w:pStyle w:val="1086"/>
        <w:jc w:val="center"/>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1086"/>
        <w:ind w:firstLine="560"/>
        <w:jc w:val="both"/>
        <w:keepLines w:val="0"/>
        <w:keepNext w:val="0"/>
        <w:pageBreakBefore w:val="0"/>
        <w:spacing w:beforeAutospacing="0" w:afterAutospacing="0" w:line="500" w:lineRule="exact"/>
        <w:widowControl w:val="off"/>
        <w:rPr>
          <w:rFonts w:hint="eastAsia" w:ascii="仿宋" w:hAnsi="仿宋" w:eastAsia="仿宋" w:cs="仿宋"/>
          <w:color w:val="auto"/>
          <w:sz w:val="28"/>
          <w:szCs w:val="28"/>
          <w:highlight w:val="none"/>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rPr>
          <w:rFonts w:hint="eastAsia" w:ascii="仿宋" w:hAnsi="仿宋" w:eastAsia="仿宋" w:cs="仿宋"/>
          <w:color w:val="auto"/>
          <w:sz w:val="28"/>
          <w:szCs w:val="28"/>
          <w:highlight w:val="none"/>
          <w:lang w:eastAsia="zh-CN"/>
        </w:rPr>
        <w:t xml:space="preserve">：</w:t>
      </w:r>
      <w:r/>
    </w:p>
    <w:p>
      <w:pPr>
        <w:pStyle w:val="1086"/>
        <w:ind w:firstLine="560"/>
        <w:jc w:val="both"/>
        <w:keepLines w:val="0"/>
        <w:keepNext w:val="0"/>
        <w:pageBreakBefore w:val="0"/>
        <w:spacing w:beforeAutospacing="0" w:afterAutospacing="0" w:line="500" w:lineRule="exact"/>
        <w:widowControl w:val="off"/>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长荡镇胜利桥工业园区（西区）雨水管网改造提升项目</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rPr>
        <w:t xml:space="preserve">项目的潜在供应商</w:t>
      </w:r>
      <w:r>
        <w:rPr>
          <w:rFonts w:hint="eastAsia" w:ascii="仿宋" w:hAnsi="仿宋" w:eastAsia="仿宋" w:cs="仿宋"/>
          <w:color w:val="auto"/>
          <w:sz w:val="28"/>
          <w:szCs w:val="28"/>
          <w:highlight w:val="none"/>
          <w:lang w:val="en-US" w:eastAsia="zh-CN"/>
        </w:rPr>
        <w:t xml:space="preserve">应</w:t>
      </w:r>
      <w:r>
        <w:rPr>
          <w:rFonts w:hint="eastAsia" w:ascii="仿宋" w:hAnsi="仿宋" w:eastAsia="仿宋" w:cs="仿宋"/>
          <w:color w:val="auto"/>
          <w:sz w:val="28"/>
          <w:szCs w:val="28"/>
          <w:highlight w:val="none"/>
        </w:rPr>
        <w:t xml:space="preserve">在</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rPr>
        <w:t xml:space="preserve">中国政府采购网、</w:t>
      </w:r>
      <w:r>
        <w:rPr>
          <w:rFonts w:hint="eastAsia" w:ascii="仿宋" w:hAnsi="仿宋" w:eastAsia="仿宋" w:cs="仿宋"/>
          <w:color w:val="auto"/>
          <w:sz w:val="28"/>
          <w:szCs w:val="28"/>
          <w:highlight w:val="none"/>
          <w:u w:val="single"/>
        </w:rPr>
        <w:t xml:space="preserve">江苏政府采购网、盐城市政采购网”</w:t>
      </w:r>
      <w:r>
        <w:rPr>
          <w:rFonts w:hint="eastAsia" w:ascii="仿宋" w:hAnsi="仿宋" w:eastAsia="仿宋" w:cs="仿宋"/>
          <w:color w:val="auto"/>
          <w:sz w:val="28"/>
          <w:szCs w:val="28"/>
          <w:highlight w:val="none"/>
          <w:lang w:val="en-US" w:eastAsia="zh-CN"/>
        </w:rPr>
        <w:t xml:space="preserve">获取磋商</w:t>
      </w:r>
      <w:r>
        <w:rPr>
          <w:rFonts w:hint="eastAsia" w:ascii="仿宋" w:hAnsi="仿宋" w:eastAsia="仿宋" w:cs="仿宋"/>
          <w:color w:val="auto"/>
          <w:sz w:val="28"/>
          <w:szCs w:val="28"/>
          <w:highlight w:val="none"/>
        </w:rPr>
        <w:t xml:space="preserve">文件，并于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06</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03 </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09</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u w:val="none"/>
        </w:rPr>
        <w:t xml:space="preserve">（</w:t>
      </w:r>
      <w:r>
        <w:rPr>
          <w:rFonts w:hint="eastAsia" w:ascii="仿宋" w:hAnsi="仿宋" w:eastAsia="仿宋" w:cs="仿宋"/>
          <w:color w:val="auto"/>
          <w:sz w:val="28"/>
          <w:szCs w:val="28"/>
          <w:highlight w:val="none"/>
        </w:rPr>
        <w:t xml:space="preserve">北京时间）前递交响应文件。</w:t>
      </w:r>
      <w:r/>
    </w:p>
    <w:p>
      <w:pPr>
        <w:pStyle w:val="10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bookmarkStart w:id="7" w:name="_Toc28359002"/>
      <w:r/>
      <w:bookmarkStart w:id="8" w:name="_Toc35393621"/>
      <w:r/>
      <w:bookmarkStart w:id="9" w:name="_Hlk24379207"/>
      <w:r/>
      <w:bookmarkStart w:id="10" w:name="_Toc38985263"/>
      <w:r/>
      <w:bookmarkStart w:id="11" w:name="_Toc28359079"/>
      <w:r/>
      <w:bookmarkStart w:id="12" w:name="_Toc35393790"/>
      <w:r>
        <w:rPr>
          <w:rFonts w:hint="eastAsia" w:ascii="仿宋" w:hAnsi="仿宋" w:eastAsia="仿宋" w:cs="仿宋"/>
          <w:b/>
          <w:color w:val="auto"/>
          <w:sz w:val="28"/>
          <w:szCs w:val="28"/>
          <w:highlight w:val="none"/>
        </w:rPr>
        <w:t xml:space="preserve">一、项目基本情况</w:t>
      </w:r>
      <w:bookmarkEnd w:id="7"/>
      <w:r/>
      <w:bookmarkEnd w:id="8"/>
      <w:r/>
      <w:bookmarkEnd w:id="9"/>
      <w:r/>
      <w:bookmarkEnd w:id="10"/>
      <w:r/>
      <w:bookmarkEnd w:id="11"/>
      <w:r/>
      <w:bookmarkEnd w:id="12"/>
      <w:r/>
      <w:r/>
    </w:p>
    <w:p>
      <w:pPr>
        <w:pStyle w:val="1086"/>
        <w:ind w:firstLine="560"/>
        <w:jc w:val="both"/>
        <w:keepLines w:val="0"/>
        <w:keepNext w:val="0"/>
        <w:pageBreakBefore w:val="0"/>
        <w:spacing w:beforeAutospacing="0" w:afterAutospacing="0" w:line="440" w:lineRule="exact"/>
        <w:widowControl w:val="off"/>
        <w:rPr>
          <w:rFonts w:ascii="Segoe UI" w:hAnsi="Segoe UI" w:eastAsia="Segoe UI" w:cs="Segoe UI"/>
          <w:i w:val="0"/>
          <w:iCs w:val="0"/>
          <w:caps w:val="0"/>
          <w:color w:val="auto"/>
          <w:spacing w:val="0"/>
          <w:sz w:val="28"/>
          <w:szCs w:val="28"/>
          <w:highlight w:val="none"/>
          <w:shd w:val="clear" w:color="auto" w:fill="ffffff"/>
        </w:rPr>
      </w:pPr>
      <w:r>
        <w:rPr>
          <w:rFonts w:hint="eastAsia" w:ascii="仿宋" w:hAnsi="仿宋" w:eastAsia="仿宋" w:cs="仿宋"/>
          <w:color w:val="auto"/>
          <w:sz w:val="28"/>
          <w:szCs w:val="28"/>
          <w:highlight w:val="none"/>
        </w:rPr>
        <w:t xml:space="preserve">1.项目编号：</w:t>
      </w:r>
      <w:r>
        <w:rPr>
          <w:rFonts w:ascii="Segoe UI" w:hAnsi="Segoe UI" w:eastAsia="Segoe UI" w:cs="Segoe UI"/>
          <w:i w:val="0"/>
          <w:iCs w:val="0"/>
          <w:caps w:val="0"/>
          <w:color w:val="auto"/>
          <w:spacing w:val="0"/>
          <w:sz w:val="28"/>
          <w:szCs w:val="28"/>
          <w:highlight w:val="none"/>
          <w:shd w:val="clear" w:color="auto" w:fill="ffffff"/>
        </w:rPr>
        <w:t xml:space="preserve">JSZC-320924-YCXD-C2026-0002</w:t>
      </w:r>
      <w:r/>
    </w:p>
    <w:p>
      <w:pPr>
        <w:pStyle w:val="1086"/>
        <w:ind w:firstLine="560"/>
        <w:jc w:val="both"/>
        <w:keepLines w:val="0"/>
        <w:keepNext w:val="0"/>
        <w:pageBreakBefore w:val="0"/>
        <w:spacing w:beforeAutospacing="0" w:afterAutospacing="0" w:line="440" w:lineRule="exact"/>
        <w:widowControl w:val="off"/>
        <w:rPr>
          <w:rFonts w:hint="default" w:ascii="仿宋" w:hAnsi="仿宋" w:eastAsia="仿宋" w:cs="仿宋"/>
          <w:i w:val="0"/>
          <w:iCs w:val="0"/>
          <w:caps w:val="0"/>
          <w:color w:val="auto"/>
          <w:spacing w:val="0"/>
          <w:sz w:val="28"/>
          <w:szCs w:val="28"/>
          <w:highlight w:val="none"/>
          <w:shd w:val="clear" w:color="auto" w:fill="ffffff"/>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i w:val="0"/>
          <w:iCs w:val="0"/>
          <w:caps w:val="0"/>
          <w:color w:val="auto"/>
          <w:spacing w:val="0"/>
          <w:sz w:val="28"/>
          <w:szCs w:val="28"/>
          <w:highlight w:val="none"/>
          <w:shd w:val="clear" w:color="auto" w:fill="ffffff"/>
          <w:lang w:eastAsia="zh-CN"/>
        </w:rPr>
        <w:t xml:space="preserve">长荡镇胜利桥工业园区（西区）雨水管网改造提升项目</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采购方式：竞争性磋商</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4.预算金额：247.56万元</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5.</w:t>
      </w:r>
      <w:r>
        <w:rPr>
          <w:rFonts w:hint="eastAsia" w:ascii="仿宋" w:hAnsi="仿宋" w:eastAsia="仿宋" w:cs="仿宋"/>
          <w:i w:val="0"/>
          <w:iCs w:val="0"/>
          <w:caps w:val="0"/>
          <w:color w:val="auto"/>
          <w:spacing w:val="0"/>
          <w:sz w:val="28"/>
          <w:szCs w:val="28"/>
          <w:highlight w:val="none"/>
          <w:shd w:val="clear" w:color="auto" w:fill="ffffff"/>
        </w:rPr>
        <w:t xml:space="preserve">最高限价：</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247.56万元</w:t>
      </w:r>
      <w:r/>
    </w:p>
    <w:p>
      <w:pPr>
        <w:pStyle w:val="1086"/>
        <w:ind w:firstLine="56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6</w:t>
      </w:r>
      <w:r>
        <w:rPr>
          <w:rFonts w:hint="eastAsia" w:ascii="仿宋" w:hAnsi="仿宋" w:eastAsia="仿宋" w:cs="仿宋"/>
          <w:i w:val="0"/>
          <w:iCs w:val="0"/>
          <w:caps w:val="0"/>
          <w:color w:val="auto"/>
          <w:spacing w:val="0"/>
          <w:sz w:val="28"/>
          <w:szCs w:val="28"/>
          <w:highlight w:val="none"/>
          <w:shd w:val="clear" w:color="auto" w:fill="ffffff"/>
        </w:rPr>
        <w:t xml:space="preserve">.采购需求（简介）：</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本工程为</w:t>
      </w:r>
      <w:r>
        <w:rPr>
          <w:rFonts w:hint="eastAsia" w:ascii="仿宋" w:hAnsi="仿宋" w:eastAsia="仿宋" w:cs="仿宋"/>
          <w:i w:val="0"/>
          <w:iCs w:val="0"/>
          <w:caps w:val="0"/>
          <w:color w:val="auto"/>
          <w:spacing w:val="0"/>
          <w:sz w:val="28"/>
          <w:szCs w:val="28"/>
          <w:highlight w:val="none"/>
          <w:shd w:val="clear" w:color="auto" w:fill="ffffff"/>
          <w:lang w:eastAsia="zh-CN"/>
        </w:rPr>
        <w:t xml:space="preserve">长荡镇胜利桥工业园区（西区）雨水管网改造提升项目</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，具体以招标人提供的工程量清单、图纸为准。</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7</w:t>
      </w:r>
      <w:r>
        <w:rPr>
          <w:rFonts w:hint="eastAsia" w:ascii="仿宋" w:hAnsi="仿宋" w:eastAsia="仿宋" w:cs="仿宋"/>
          <w:i w:val="0"/>
          <w:iCs w:val="0"/>
          <w:caps w:val="0"/>
          <w:color w:val="auto"/>
          <w:spacing w:val="0"/>
          <w:sz w:val="28"/>
          <w:szCs w:val="28"/>
          <w:highlight w:val="none"/>
          <w:shd w:val="clear" w:color="auto" w:fill="ffffff"/>
        </w:rPr>
        <w:t xml:space="preserve">.合同履行期限：</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90日历天</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1086"/>
        <w:ind w:firstLine="560"/>
        <w:jc w:val="both"/>
        <w:keepLines w:val="0"/>
        <w:keepNext w:val="0"/>
        <w:pageBreakBefore w:val="0"/>
        <w:spacing w:beforeAutospacing="0" w:afterAutospacing="0" w:line="440" w:lineRule="exact"/>
        <w:widowControl w:val="off"/>
        <w:rPr>
          <w:rFonts w:hint="default" w:ascii="仿宋" w:hAnsi="仿宋" w:eastAsia="仿宋" w:cs="仿宋"/>
          <w:color w:val="auto"/>
          <w:sz w:val="28"/>
          <w:szCs w:val="28"/>
          <w:highlight w:val="none"/>
          <w:shd w:val="clear" w:color="auto" w:fill="ffff00"/>
          <w:lang w:val="en-US"/>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8.本项目（是/否）接受联合体参与磋商:不接受联合体。</w:t>
      </w:r>
      <w:r/>
    </w:p>
    <w:p>
      <w:pPr>
        <w:pStyle w:val="10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bookmarkStart w:id="13" w:name="_Toc35393791"/>
      <w:r/>
      <w:bookmarkStart w:id="14" w:name="_Toc38985264"/>
      <w:r/>
      <w:bookmarkStart w:id="15" w:name="_Toc28359003"/>
      <w:r/>
      <w:bookmarkStart w:id="16" w:name="_Toc28359080"/>
      <w:r/>
      <w:bookmarkStart w:id="17" w:name="_Toc35393622"/>
      <w:r>
        <w:rPr>
          <w:rFonts w:hint="eastAsia" w:ascii="仿宋" w:hAnsi="仿宋" w:eastAsia="仿宋" w:cs="仿宋"/>
          <w:b/>
          <w:color w:val="auto"/>
          <w:sz w:val="28"/>
          <w:szCs w:val="28"/>
          <w:highlight w:val="none"/>
        </w:rPr>
        <w:t xml:space="preserve">二、申请人的资格要求：</w:t>
      </w:r>
      <w:bookmarkEnd w:id="13"/>
      <w:r/>
      <w:bookmarkEnd w:id="14"/>
      <w:r/>
      <w:bookmarkEnd w:id="15"/>
      <w:r/>
      <w:bookmarkEnd w:id="16"/>
      <w:r/>
      <w:bookmarkEnd w:id="17"/>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自然人的身份证明</w:t>
      </w:r>
      <w:r>
        <w:rPr>
          <w:rFonts w:hint="eastAsia" w:ascii="仿宋" w:hAnsi="仿宋" w:eastAsia="仿宋" w:cs="仿宋"/>
          <w:color w:val="auto"/>
          <w:sz w:val="28"/>
          <w:szCs w:val="28"/>
          <w:highlight w:val="none"/>
        </w:rPr>
        <w:t xml:space="preserve">；</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color w:val="auto"/>
          <w:sz w:val="28"/>
          <w:szCs w:val="28"/>
          <w:highlight w:val="none"/>
          <w:lang w:val="en-US" w:eastAsia="zh-CN"/>
        </w:rPr>
        <w:t xml:space="preserve">上一年度的财务状况报表（成立不满一年无需提供）</w:t>
      </w:r>
      <w:r>
        <w:rPr>
          <w:rFonts w:hint="eastAsia" w:ascii="仿宋" w:hAnsi="仿宋" w:eastAsia="仿宋" w:cs="仿宋"/>
          <w:color w:val="auto"/>
          <w:sz w:val="28"/>
          <w:szCs w:val="28"/>
          <w:highlight w:val="none"/>
        </w:rPr>
        <w:t xml:space="preserve">；</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具备履行合同所必需的设备和专业技术能力的书面声明；</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.5参加政府采购活动前3年内在经营活动中没有重大违法记录的书面声明。</w:t>
      </w:r>
      <w:r/>
    </w:p>
    <w:p>
      <w:pPr>
        <w:pStyle w:val="1086"/>
        <w:ind w:firstLine="560"/>
        <w:jc w:val="both"/>
        <w:pageBreakBefore w:val="0"/>
        <w:spacing w:beforeAutospacing="0" w:afterAutospacing="0" w:line="44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1.6法律、行政法规规定的其他条件。</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单位负责人为同一人或者存在直接控股、</w:t>
      </w:r>
      <w:r>
        <w:rPr>
          <w:rFonts w:hint="eastAsia" w:ascii="仿宋" w:hAnsi="仿宋" w:eastAsia="仿宋" w:cs="仿宋"/>
          <w:color w:val="auto"/>
          <w:sz w:val="28"/>
          <w:szCs w:val="28"/>
          <w:highlight w:val="none"/>
          <w:lang w:val="en-US" w:eastAsia="zh-CN"/>
        </w:rPr>
        <w:t xml:space="preserve">管理</w:t>
      </w:r>
      <w:r>
        <w:rPr>
          <w:rFonts w:hint="eastAsia" w:ascii="仿宋" w:hAnsi="仿宋" w:eastAsia="仿宋" w:cs="仿宋"/>
          <w:color w:val="auto"/>
          <w:sz w:val="28"/>
          <w:szCs w:val="28"/>
          <w:highlight w:val="none"/>
        </w:rPr>
        <w:t xml:space="preserve">关系的不同供应商，不得参加同一合同项下的政府采购活动。</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落实政府采购政策需满足的资格要求：本项目为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监狱企业、残疾人福利性单位视同小微企业。</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rPr>
          <w:rFonts w:hint="eastAsia" w:ascii="仿宋" w:hAnsi="仿宋" w:eastAsia="仿宋" w:cs="仿宋"/>
          <w:color w:val="auto"/>
          <w:sz w:val="28"/>
          <w:szCs w:val="28"/>
          <w:highlight w:val="none"/>
          <w:lang w:eastAsia="zh-CN"/>
        </w:rPr>
        <w:t xml:space="preserve">：</w:t>
      </w:r>
      <w:r/>
    </w:p>
    <w:p>
      <w:pPr>
        <w:pStyle w:val="1264"/>
        <w:ind w:firstLine="560"/>
        <w:jc w:val="both"/>
        <w:pageBreakBefore w:val="0"/>
        <w:spacing w:before="0" w:after="0"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①供应商具备建设行政主管部门核定的市政公用工程施工总承包叁级及以上资质。</w:t>
      </w:r>
      <w:r/>
    </w:p>
    <w:p>
      <w:pPr>
        <w:pStyle w:val="1264"/>
        <w:ind w:firstLine="560"/>
        <w:jc w:val="both"/>
        <w:pageBreakBefore w:val="0"/>
        <w:spacing w:before="0" w:after="0"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②具有建设行政主管部门核发在有效期内的安全生产许可证。</w:t>
      </w:r>
      <w:r/>
    </w:p>
    <w:p>
      <w:pPr>
        <w:ind w:firstLine="560"/>
        <w:pageBreakBefore w:val="0"/>
        <w:spacing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③项目负责人必须是本单位正式职工，具有市政公用工程二级及以上建造师注册证书且具有有效的安全生产考核合格证书（B类证），必须满足下列条件： </w:t>
      </w:r>
      <w:r/>
    </w:p>
    <w:p>
      <w:pPr>
        <w:numPr>
          <w:ilvl w:val="0"/>
          <w:numId w:val="1"/>
        </w:numPr>
        <w:ind w:firstLine="560"/>
        <w:pageBreakBefore w:val="0"/>
        <w:spacing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项目负责人不得同时在两个或者两个以上单位受聘或者执业。</w:t>
      </w:r>
      <w:r/>
    </w:p>
    <w:p>
      <w:pPr>
        <w:numPr>
          <w:ilvl w:val="0"/>
          <w:numId w:val="1"/>
        </w:numPr>
        <w:ind w:firstLine="560"/>
        <w:pageBreakBefore w:val="0"/>
        <w:spacing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560"/>
        <w:pageBreakBefore w:val="0"/>
        <w:spacing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w:t>
      </w:r>
      <w:r/>
    </w:p>
    <w:p>
      <w:pPr>
        <w:ind w:firstLine="560"/>
        <w:pageBreakBefore w:val="0"/>
        <w:spacing w:line="440" w:lineRule="exact"/>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④投标承诺的项目负责人为本单位的正式职工，投标时提供从2026年02月开始至投标截止之日当月至少1个月在本单位缴纳养老保险缴费记录证明。</w:t>
      </w:r>
      <w:r/>
    </w:p>
    <w:p>
      <w:pPr>
        <w:pStyle w:val="10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三、获取</w:t>
      </w:r>
      <w:r>
        <w:rPr>
          <w:rFonts w:hint="eastAsia" w:ascii="仿宋" w:hAnsi="仿宋" w:eastAsia="仿宋" w:cs="仿宋"/>
          <w:b/>
          <w:color w:val="auto"/>
          <w:sz w:val="28"/>
          <w:szCs w:val="28"/>
          <w:highlight w:val="none"/>
          <w:lang w:val="en-US" w:eastAsia="zh-CN"/>
        </w:rPr>
        <w:t xml:space="preserve">磋商</w:t>
      </w:r>
      <w:r>
        <w:rPr>
          <w:rFonts w:hint="eastAsia" w:ascii="仿宋" w:hAnsi="仿宋" w:eastAsia="仿宋" w:cs="仿宋"/>
          <w:b/>
          <w:color w:val="auto"/>
          <w:sz w:val="28"/>
          <w:szCs w:val="28"/>
          <w:highlight w:val="none"/>
        </w:rPr>
        <w:t xml:space="preserve">文件</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8985266"/>
      <w:r/>
      <w:bookmarkStart w:id="21" w:name="_Toc35393793"/>
      <w:r/>
      <w:bookmarkStart w:id="22" w:name="_Toc28359005"/>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lang w:val="en-US" w:eastAsia="zh-CN"/>
        </w:rPr>
        <w:t xml:space="preserve">自磋商文件公告发布之日起5个工作日</w:t>
      </w:r>
      <w:r>
        <w:rPr>
          <w:rFonts w:hint="eastAsia" w:ascii="仿宋" w:hAnsi="仿宋" w:eastAsia="仿宋" w:cs="仿宋"/>
          <w:color w:val="auto"/>
          <w:sz w:val="28"/>
          <w:szCs w:val="28"/>
          <w:highlight w:val="none"/>
        </w:rPr>
        <w:t xml:space="preserve">。</w:t>
      </w:r>
      <w:bookmarkEnd w:id="18"/>
      <w:r/>
      <w:bookmarkEnd w:id="19"/>
      <w:r/>
      <w:bookmarkEnd w:id="20"/>
      <w:r/>
      <w:bookmarkEnd w:id="21"/>
      <w:r/>
      <w:bookmarkEnd w:id="22"/>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2.地点：“苏采云”系统内免费下载（投标人必须在苏采云系统中获取磋商文件，方能参与政府采购项目）</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.方式：</w:t>
      </w:r>
      <w:r>
        <w:rPr>
          <w:rFonts w:hint="eastAsia" w:ascii="仿宋" w:hAnsi="仿宋" w:eastAsia="仿宋" w:cs="仿宋"/>
          <w:color w:val="auto"/>
          <w:sz w:val="28"/>
          <w:szCs w:val="28"/>
          <w:highlight w:val="none"/>
          <w:lang w:val="en-US" w:eastAsia="zh-CN"/>
        </w:rPr>
        <w:t xml:space="preserve">本项目采用网上注册登记方式</w:t>
      </w:r>
      <w:r/>
    </w:p>
    <w:p>
      <w:pPr>
        <w:ind w:firstLine="560"/>
        <w:jc w:val="left"/>
        <w:pageBreakBefore w:val="0"/>
        <w:spacing w:line="440" w:lineRule="exact"/>
        <w:widowControl/>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4.售价：0元</w:t>
      </w:r>
      <w:r/>
    </w:p>
    <w:p>
      <w:pPr>
        <w:pStyle w:val="10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t xml:space="preserve">四、响应文件</w:t>
      </w:r>
      <w:r>
        <w:rPr>
          <w:rFonts w:hint="eastAsia" w:ascii="仿宋" w:hAnsi="仿宋" w:eastAsia="仿宋" w:cs="仿宋"/>
          <w:b/>
          <w:color w:val="auto"/>
          <w:sz w:val="28"/>
          <w:szCs w:val="28"/>
          <w:highlight w:val="none"/>
          <w:lang w:val="en-US" w:eastAsia="zh-CN"/>
        </w:rPr>
        <w:t xml:space="preserve">提交</w:t>
      </w:r>
      <w:r/>
    </w:p>
    <w:p>
      <w:pPr>
        <w:pStyle w:val="1086"/>
        <w:ind w:firstLine="560"/>
        <w:jc w:val="both"/>
        <w:pageBreakBefore w:val="0"/>
        <w:spacing w:beforeAutospacing="0" w:afterAutospacing="0" w:line="440" w:lineRule="exact"/>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rPr>
        <w:t xml:space="preserve">1.截止时间：</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06</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03</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09</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rPr>
        <w:t xml:space="preserve">（北京时间）。</w:t>
      </w:r>
      <w:r/>
    </w:p>
    <w:p>
      <w:pPr>
        <w:ind w:firstLine="560"/>
        <w:jc w:val="left"/>
        <w:pageBreakBefore w:val="0"/>
        <w:spacing w:line="440" w:lineRule="exact"/>
        <w:widowControl/>
        <w:rPr>
          <w:rFonts w:hint="eastAsia" w:ascii="仿宋" w:hAnsi="仿宋" w:eastAsia="仿宋" w:cs="仿宋"/>
          <w:color w:val="auto"/>
          <w:sz w:val="28"/>
          <w:szCs w:val="28"/>
          <w:highlight w:val="none"/>
          <w:shd w:val="clear" w:color="auto" w:fill="ffff00"/>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2.地点：苏采云“不见面”开标大厅 </w:t>
      </w:r>
      <w:r>
        <w:rPr>
          <w:rFonts w:hint="eastAsia" w:ascii="仿宋" w:hAnsi="仿宋" w:eastAsia="仿宋" w:cs="仿宋"/>
          <w:color w:val="auto"/>
          <w:sz w:val="28"/>
          <w:szCs w:val="28"/>
          <w:highlight w:val="none"/>
          <w:lang w:val="en-US" w:eastAsia="zh-CN"/>
        </w:rPr>
        <w:t xml:space="preserve">。</w:t>
      </w:r>
      <w:r/>
    </w:p>
    <w:p>
      <w:pPr>
        <w:pStyle w:val="1086"/>
        <w:ind w:firstLine="562"/>
        <w:jc w:val="both"/>
        <w:keepLines/>
        <w:keepNext/>
        <w:pageBreakBefore w:val="0"/>
        <w:spacing w:beforeAutospacing="0" w:afterAutospacing="0" w:line="440" w:lineRule="exact"/>
        <w:rPr>
          <w:rFonts w:hint="eastAsia" w:ascii="仿宋" w:hAnsi="仿宋" w:eastAsia="仿宋" w:cs="仿宋"/>
          <w:b/>
          <w:color w:val="auto"/>
          <w:sz w:val="28"/>
          <w:szCs w:val="28"/>
          <w:highlight w:val="none"/>
        </w:rPr>
      </w:pPr>
      <w:r/>
      <w:bookmarkStart w:id="23" w:name="_Toc35393795"/>
      <w:r/>
      <w:bookmarkStart w:id="24" w:name="_Toc35393626"/>
      <w:r/>
      <w:bookmarkStart w:id="25" w:name="_Toc38985268"/>
      <w:r>
        <w:rPr>
          <w:rFonts w:hint="eastAsia" w:ascii="仿宋" w:hAnsi="仿宋" w:eastAsia="仿宋" w:cs="仿宋"/>
          <w:b/>
          <w:color w:val="auto"/>
          <w:sz w:val="28"/>
          <w:szCs w:val="28"/>
          <w:highlight w:val="none"/>
        </w:rPr>
        <w:t xml:space="preserve">五、开启</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时间：</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06</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03</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09</w:t>
      </w:r>
      <w:r>
        <w:rPr>
          <w:rFonts w:hint="eastAsia" w:ascii="仿宋" w:hAnsi="仿宋" w:eastAsia="仿宋" w:cs="仿宋"/>
          <w:color w:val="auto"/>
          <w:sz w:val="28"/>
          <w:szCs w:val="28"/>
          <w:highlight w:val="none"/>
          <w:u w:val="single"/>
        </w:rPr>
        <w:t xml:space="preserve">点 </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i w:val="0"/>
          <w:iCs w:val="0"/>
          <w:caps w:val="0"/>
          <w:color w:val="auto"/>
          <w:spacing w:val="0"/>
          <w:sz w:val="28"/>
          <w:szCs w:val="28"/>
          <w:highlight w:val="none"/>
          <w:shd w:val="clear" w:color="auto" w:fill="ffffff"/>
        </w:rPr>
        <w:t xml:space="preserve">（北京时间）</w:t>
      </w:r>
      <w:r>
        <w:rPr>
          <w:rFonts w:hint="eastAsia" w:ascii="仿宋" w:hAnsi="仿宋" w:eastAsia="仿宋" w:cs="仿宋"/>
          <w:color w:val="auto"/>
          <w:sz w:val="28"/>
          <w:szCs w:val="28"/>
          <w:highlight w:val="none"/>
        </w:rPr>
        <w:t xml:space="preserve">。</w:t>
      </w:r>
      <w:bookmarkEnd w:id="23"/>
      <w:r/>
      <w:bookmarkEnd w:id="24"/>
      <w:r/>
      <w:bookmarkEnd w:id="25"/>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地点：</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射阳县市民中心八楼开标室（县城幸福大道16号）开标室</w:t>
      </w:r>
      <w:r/>
    </w:p>
    <w:p>
      <w:pPr>
        <w:pStyle w:val="1051"/>
        <w:ind w:right="0" w:firstLine="56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仿宋" w:hAnsi="仿宋" w:eastAsia="仿宋" w:cs="仿宋"/>
          <w:b/>
          <w:bCs w:val="0"/>
          <w:color w:val="auto"/>
          <w:sz w:val="28"/>
          <w:szCs w:val="28"/>
          <w:highlight w:val="none"/>
          <w:lang w:val="en-US" w:eastAsia="zh-CN" w:bidi="ar-SA"/>
        </w:rPr>
        <w:t xml:space="preserve">六、公告期限</w:t>
      </w:r>
      <w:bookmarkEnd w:id="26"/>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自本公告发布之日起</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个工作日。</w:t>
      </w:r>
      <w:r/>
    </w:p>
    <w:p>
      <w:pPr>
        <w:pStyle w:val="10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、其他补充事宜</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仿宋" w:hAnsi="仿宋" w:eastAsia="仿宋" w:cs="仿宋"/>
          <w:b w:val="0"/>
          <w:bCs w:val="0"/>
          <w:color w:val="auto"/>
          <w:sz w:val="28"/>
          <w:szCs w:val="28"/>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2.潜在供应商访问电子招标响应交易平台的网络地址和方法：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2.2 潜在投标人访问“苏采云”系统方法：江苏省政府采购网首页-“苏采云”链接。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2.3 磋商文件（后缀名为“.kedt”）、供应商操作手册及政府采购客户端 工具可通过“苏采云”系统相应链接进行下载。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2.4 采购代理机构将数据电文形式的磋商文件加载至“苏采云”系统，供潜在供应商下载或者查阅。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2.5 请潜在投标单位提前安装相应的控件（详见《“苏采云”系统供应商操作手册》）并使用谷歌浏览器登录“苏采云”系统参与不见面开评标。 </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如潜在投标人未按上述要求操作，将自行承担所产生的风险。</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3. 有关本次磋商的事项若存在变动或修改，敬请及时关注在“中国政府采购网”“江苏政府采购网”“盐城市政府采购网”发布的更正公告。</w:t>
      </w:r>
      <w:r/>
    </w:p>
    <w:p>
      <w:pPr>
        <w:pStyle w:val="10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8"/>
          <w:szCs w:val="28"/>
          <w:highlight w:val="none"/>
          <w:lang w:val="en-US" w:eastAsia="zh-CN" w:bidi="ar-SA"/>
        </w:rPr>
        <w:t xml:space="preserve">4. 本次磋商不收取磋商保证金，不收取质量保证金。</w:t>
      </w:r>
      <w:r/>
    </w:p>
    <w:p>
      <w:pPr>
        <w:pStyle w:val="1051"/>
        <w:ind w:left="0" w:right="0" w:firstLine="56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28"/>
          <w:szCs w:val="28"/>
          <w:highlight w:val="none"/>
          <w:lang w:val="en-US" w:eastAsia="zh-CN" w:bidi="ar-SA"/>
        </w:rPr>
        <w:t xml:space="preserve">八、凡对本次采购提出询问，请按以下方式联系。</w:t>
      </w:r>
      <w:bookmarkEnd w:id="27"/>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1.采购人信息</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名  称：射阳县长荡镇人民政府</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地  址：江苏省盐城市射阳县府前路130号</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联系人：伏树祥</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联系方式：</w:t>
      </w:r>
      <w:bookmarkStart w:id="28" w:name="_Toc28359009"/>
      <w:r/>
      <w:bookmarkEnd w:id="28"/>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13390686892</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2.采购代理机构信息</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名  称： 盐城现代建设工程项目管理有限公司</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地  址：射阳县金阳哈罗斯27号楼4楼</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联系人：万卉                </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联系方式：15295323132          </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bookmarkEnd w:id="29"/>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项目联系方式</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项目联系人：万卉</w:t>
      </w:r>
      <w:r/>
    </w:p>
    <w:p>
      <w:pPr>
        <w:pStyle w:val="10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电　　 话：15295323132</w:t>
      </w:r>
      <w:r/>
    </w:p>
    <w:p>
      <w:pPr>
        <w:rPr>
          <w:color w:val="auto"/>
          <w:highlight w:val="none"/>
        </w:rPr>
      </w:pPr>
      <w:r>
        <w:rPr>
          <w:rFonts w:hint="eastAsia" w:ascii="仿宋" w:hAnsi="仿宋" w:eastAsia="仿宋" w:cs="仿宋"/>
          <w:b/>
          <w:color w:val="auto"/>
          <w:sz w:val="28"/>
          <w:szCs w:val="28"/>
          <w:highlight w:val="none"/>
        </w:rPr>
        <w:br w:type="page" w:clear="all"/>
      </w:r>
      <w:r/>
    </w:p>
    <w:p>
      <w:pPr>
        <w:pStyle w:val="1086"/>
        <w:jc w:val="center"/>
        <w:keepLines/>
        <w:keepNext/>
        <w:spacing w:before="260" w:beforeAutospacing="0" w:after="260" w:afterAutospacing="0" w:line="415" w:lineRule="auto"/>
        <w:rPr>
          <w:color w:val="auto"/>
          <w:highlight w:val="none"/>
        </w:rPr>
      </w:pPr>
      <w:r/>
      <w:bookmarkStart w:id="30" w:name="_Toc120614211"/>
      <w:r>
        <w:rPr>
          <w:rFonts w:hint="eastAsia" w:ascii="黑体" w:hAnsi="宋体" w:eastAsia="黑体" w:cs="黑体"/>
          <w:b/>
          <w:color w:val="auto"/>
          <w:sz w:val="44"/>
          <w:szCs w:val="44"/>
          <w:highlight w:val="none"/>
        </w:rPr>
        <w:t xml:space="preserve">第二章  </w:t>
      </w:r>
      <w:bookmarkEnd w:id="30"/>
      <w:r>
        <w:rPr>
          <w:rFonts w:hint="eastAsia" w:ascii="黑体" w:hAnsi="宋体" w:eastAsia="黑体" w:cs="黑体"/>
          <w:b/>
          <w:color w:val="auto"/>
          <w:sz w:val="44"/>
          <w:szCs w:val="44"/>
          <w:highlight w:val="none"/>
        </w:rPr>
        <w:t xml:space="preserve">供应商须知</w:t>
      </w:r>
      <w:r/>
    </w:p>
    <w:p>
      <w:pPr>
        <w:pStyle w:val="1086"/>
        <w:ind w:firstLine="640"/>
        <w:jc w:val="both"/>
        <w:keepLines/>
        <w:keepNext/>
        <w:pageBreakBefore w:val="0"/>
        <w:spacing w:beforeAutospacing="0" w:afterAutospacing="0" w:line="440" w:lineRule="exact"/>
        <w:widowControl w:val="off"/>
        <w:rPr>
          <w:color w:val="auto"/>
          <w:highlight w:val="none"/>
        </w:rPr>
      </w:pPr>
      <w:r/>
      <w:bookmarkStart w:id="31" w:name="_Toc16938519"/>
      <w:r/>
      <w:bookmarkStart w:id="32" w:name="_Toc513029203"/>
      <w:r/>
      <w:bookmarkStart w:id="33" w:name="_Toc120614214"/>
      <w:r/>
      <w:bookmarkStart w:id="34" w:name="_Toc20823275"/>
      <w:r>
        <w:rPr>
          <w:rFonts w:ascii="Times New Roman" w:hAnsi="Times New Roman"/>
          <w:b/>
          <w:color w:val="auto"/>
          <w:sz w:val="32"/>
          <w:szCs w:val="32"/>
          <w:highlight w:val="none"/>
        </w:rPr>
        <w:t xml:space="preserve">一、总则</w:t>
      </w:r>
      <w:bookmarkEnd w:id="31"/>
      <w:r/>
      <w:bookmarkEnd w:id="32"/>
      <w:r/>
      <w:bookmarkEnd w:id="33"/>
      <w:r/>
      <w:bookmarkEnd w:id="34"/>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35" w:name="_Toc20823276"/>
      <w:r/>
      <w:bookmarkStart w:id="36" w:name="_Toc16938520"/>
      <w:r/>
      <w:bookmarkStart w:id="37" w:name="_Toc458694821"/>
      <w:r/>
      <w:bookmarkStart w:id="38" w:name="_Toc513029204"/>
      <w:r/>
      <w:bookmarkStart w:id="39" w:name="_Hlt16619475"/>
      <w:r>
        <w:rPr>
          <w:rFonts w:hint="eastAsia" w:ascii="宋体" w:hAnsi="宋体" w:eastAsia="宋体" w:cs="宋体"/>
          <w:b/>
          <w:color w:val="auto"/>
          <w:sz w:val="30"/>
          <w:szCs w:val="30"/>
          <w:highlight w:val="none"/>
        </w:rPr>
        <w:t xml:space="preserve">1</w:t>
      </w:r>
      <w:bookmarkEnd w:id="35"/>
      <w:r>
        <w:rPr>
          <w:rFonts w:hint="eastAsia" w:ascii="宋体" w:hAnsi="宋体" w:eastAsia="宋体" w:cs="宋体"/>
          <w:b/>
          <w:color w:val="auto"/>
          <w:sz w:val="30"/>
          <w:szCs w:val="30"/>
          <w:highlight w:val="none"/>
        </w:rPr>
        <w:t xml:space="preserve">、采购方式</w:t>
      </w:r>
      <w:bookmarkEnd w:id="36"/>
      <w:r/>
      <w:bookmarkEnd w:id="37"/>
      <w:r/>
      <w:bookmarkEnd w:id="38"/>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1.1 本次政府采购活动采取竞争性磋商(以下简称磋商)方式，本磋商文件仅适用于磋商公告中所述项目。</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40" w:name="_Toc20823277"/>
      <w:r/>
      <w:bookmarkStart w:id="41" w:name="_Toc513029205"/>
      <w:r/>
      <w:bookmarkStart w:id="42" w:name="_Toc16938521"/>
      <w:r>
        <w:rPr>
          <w:rFonts w:hint="eastAsia" w:ascii="宋体" w:hAnsi="宋体" w:eastAsia="宋体" w:cs="宋体"/>
          <w:b/>
          <w:color w:val="auto"/>
          <w:sz w:val="30"/>
          <w:szCs w:val="30"/>
          <w:highlight w:val="none"/>
        </w:rPr>
        <w:t xml:space="preserve">2、合格的</w:t>
      </w:r>
      <w:bookmarkEnd w:id="40"/>
      <w:r/>
      <w:bookmarkEnd w:id="41"/>
      <w:r/>
      <w:bookmarkEnd w:id="42"/>
      <w:r>
        <w:rPr>
          <w:rFonts w:hint="eastAsia" w:ascii="宋体" w:hAnsi="宋体" w:eastAsia="宋体" w:cs="宋体"/>
          <w:b/>
          <w:color w:val="auto"/>
          <w:sz w:val="30"/>
          <w:szCs w:val="30"/>
          <w:highlight w:val="none"/>
        </w:rPr>
        <w:t xml:space="preserve">供应商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2.1满足磋商公告中供应商资格要求的规定。</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2.2 满足本磋商文件实质性要求和条件的规定。</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43" w:name="_Toc513029206"/>
      <w:r/>
      <w:bookmarkStart w:id="44" w:name="_Toc20823278"/>
      <w:r/>
      <w:bookmarkStart w:id="45" w:name="_Toc16938522"/>
      <w:r>
        <w:rPr>
          <w:rFonts w:hint="eastAsia" w:ascii="宋体" w:hAnsi="宋体" w:eastAsia="宋体" w:cs="宋体"/>
          <w:b/>
          <w:color w:val="auto"/>
          <w:sz w:val="30"/>
          <w:szCs w:val="30"/>
          <w:highlight w:val="none"/>
        </w:rPr>
        <w:t xml:space="preserve">3、适用法律</w:t>
      </w:r>
      <w:bookmarkEnd w:id="43"/>
      <w:r/>
      <w:bookmarkEnd w:id="44"/>
      <w:r/>
      <w:bookmarkEnd w:id="45"/>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3.1 本次磋商及由此产生的合同受中华人民共和国有关的法律法规制约和保护。</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46" w:name="_Toc20823279"/>
      <w:r/>
      <w:bookmarkStart w:id="47" w:name="_Toc462564067"/>
      <w:r/>
      <w:bookmarkStart w:id="48" w:name="_Toc16938523"/>
      <w:r/>
      <w:bookmarkStart w:id="49" w:name="_Toc513029207"/>
      <w:r>
        <w:rPr>
          <w:rFonts w:hint="eastAsia" w:ascii="宋体" w:hAnsi="宋体" w:eastAsia="宋体" w:cs="宋体"/>
          <w:b/>
          <w:color w:val="auto"/>
          <w:sz w:val="30"/>
          <w:szCs w:val="30"/>
          <w:highlight w:val="none"/>
        </w:rPr>
        <w:t xml:space="preserve">4、磋商费用</w:t>
      </w:r>
      <w:bookmarkEnd w:id="46"/>
      <w:r/>
      <w:bookmarkEnd w:id="47"/>
      <w:r/>
      <w:bookmarkEnd w:id="48"/>
      <w:r/>
      <w:bookmarkEnd w:id="49"/>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4.1供应商应自行承担所有与参加本次磋商有关的费用，无论磋商过程中的做法和结果如何，采购人在任何情况下均无义务和责任承担这些费用。</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4.2本次磋商招标代理机构和采购人不收取标书工本费。</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5、磋商文件的约束力</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5.1供应商一旦参加本项目采购活动，即被认为接受了本磋商文件的规定和约束。</w:t>
      </w:r>
      <w:r/>
    </w:p>
    <w:p>
      <w:pPr>
        <w:pStyle w:val="1086"/>
        <w:ind w:firstLine="640"/>
        <w:jc w:val="both"/>
        <w:keepLines/>
        <w:keepNext/>
        <w:pageBreakBefore w:val="0"/>
        <w:spacing w:beforeAutospacing="0" w:afterAutospacing="0" w:line="440" w:lineRule="exact"/>
        <w:widowControl w:val="off"/>
        <w:rPr>
          <w:color w:val="auto"/>
          <w:highlight w:val="none"/>
        </w:rPr>
      </w:pPr>
      <w:r/>
      <w:bookmarkStart w:id="50" w:name="_Toc513029209"/>
      <w:r/>
      <w:bookmarkStart w:id="51" w:name="_Toc120614215"/>
      <w:r/>
      <w:bookmarkStart w:id="52" w:name="_Toc16938525"/>
      <w:r/>
      <w:bookmarkStart w:id="53" w:name="_Toc20823281"/>
      <w:r>
        <w:rPr>
          <w:rFonts w:ascii="Times New Roman" w:hAnsi="Times New Roman"/>
          <w:b/>
          <w:color w:val="auto"/>
          <w:sz w:val="32"/>
          <w:szCs w:val="32"/>
          <w:highlight w:val="none"/>
        </w:rPr>
        <w:t xml:space="preserve">二、</w:t>
      </w:r>
      <w:bookmarkEnd w:id="50"/>
      <w:r/>
      <w:bookmarkEnd w:id="51"/>
      <w:r/>
      <w:bookmarkEnd w:id="52"/>
      <w:r/>
      <w:bookmarkEnd w:id="53"/>
      <w:r>
        <w:rPr>
          <w:rFonts w:ascii="Times New Roman" w:hAnsi="Times New Roman"/>
          <w:b/>
          <w:color w:val="auto"/>
          <w:sz w:val="32"/>
          <w:szCs w:val="32"/>
          <w:highlight w:val="none"/>
        </w:rPr>
        <w:t xml:space="preserve">磋商文件</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54" w:name="_Toc513029210"/>
      <w:r/>
      <w:bookmarkStart w:id="55" w:name="_Toc16938526"/>
      <w:r/>
      <w:bookmarkStart w:id="56" w:name="_Toc20823282"/>
      <w:r>
        <w:rPr>
          <w:rFonts w:hint="eastAsia" w:ascii="宋体" w:hAnsi="宋体" w:eastAsia="宋体" w:cs="宋体"/>
          <w:b/>
          <w:color w:val="auto"/>
          <w:sz w:val="30"/>
          <w:szCs w:val="30"/>
          <w:highlight w:val="none"/>
        </w:rPr>
        <w:t xml:space="preserve">6、磋商文件构成</w:t>
      </w:r>
      <w:bookmarkEnd w:id="54"/>
      <w:r/>
      <w:bookmarkEnd w:id="55"/>
      <w:r/>
      <w:bookmarkEnd w:id="56"/>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6.1磋商文件由以下部分组成：</w:t>
      </w:r>
      <w:r/>
    </w:p>
    <w:p>
      <w:pPr>
        <w:pStyle w:val="1086"/>
        <w:ind w:firstLine="480"/>
        <w:jc w:val="both"/>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（1）磋商</w:t>
      </w:r>
      <w:r>
        <w:rPr>
          <w:rFonts w:hint="eastAsia" w:ascii="宋体" w:hAnsi="宋体" w:eastAsia="宋体" w:cs="宋体"/>
          <w:color w:val="auto"/>
          <w:highlight w:val="none"/>
          <w:lang w:val="en-US" w:eastAsia="zh-CN"/>
        </w:rPr>
        <w:t xml:space="preserve">公告</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（2）供应商须知</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（3）合同文本</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（4）采购需求</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（5）</w:t>
      </w:r>
      <w:r>
        <w:rPr>
          <w:rFonts w:ascii="Times New Roman" w:hAnsi="Times New Roman"/>
          <w:color w:val="auto"/>
          <w:highlight w:val="none"/>
        </w:rPr>
        <w:t xml:space="preserve">评审方法与评审标准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（6）响应文件格式</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请仔细检查磋商文件是否齐全，如有缺漏请立即与招标代理机构联系解决。</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57" w:name="_Toc16938527"/>
      <w:r/>
      <w:bookmarkStart w:id="58" w:name="_Toc462564070"/>
      <w:r/>
      <w:bookmarkStart w:id="59" w:name="_Toc20823283"/>
      <w:r/>
      <w:bookmarkStart w:id="60" w:name="_Toc513029211"/>
      <w:r>
        <w:rPr>
          <w:rFonts w:hint="eastAsia" w:ascii="宋体" w:hAnsi="宋体" w:eastAsia="宋体" w:cs="宋体"/>
          <w:b/>
          <w:color w:val="auto"/>
          <w:sz w:val="30"/>
          <w:szCs w:val="30"/>
          <w:highlight w:val="none"/>
        </w:rPr>
        <w:t xml:space="preserve">7、磋商文件的澄清</w:t>
      </w:r>
      <w:bookmarkEnd w:id="57"/>
      <w:r/>
      <w:bookmarkEnd w:id="58"/>
      <w:r/>
      <w:bookmarkEnd w:id="59"/>
      <w:r/>
      <w:bookmarkEnd w:id="60"/>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7.1 任何要求对磋商文件进行澄清的供应商，应在磋商截止期5日</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按磋商公告中的通讯地址，以书面形式通知招标代理机构。</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61" w:name="_Toc16938528"/>
      <w:r/>
      <w:bookmarkStart w:id="62" w:name="_Toc462564071"/>
      <w:r/>
      <w:bookmarkStart w:id="63" w:name="_Toc20823284"/>
      <w:r/>
      <w:bookmarkStart w:id="64" w:name="_Toc513029212"/>
      <w:r>
        <w:rPr>
          <w:rFonts w:hint="eastAsia" w:ascii="宋体" w:hAnsi="宋体" w:eastAsia="宋体" w:cs="宋体"/>
          <w:b/>
          <w:color w:val="auto"/>
          <w:sz w:val="30"/>
          <w:szCs w:val="30"/>
          <w:highlight w:val="none"/>
        </w:rPr>
        <w:t xml:space="preserve">8、磋商文件的澄清和修改</w:t>
      </w:r>
      <w:bookmarkEnd w:id="61"/>
      <w:r/>
      <w:bookmarkEnd w:id="62"/>
      <w:r/>
      <w:bookmarkEnd w:id="63"/>
      <w:r/>
      <w:bookmarkEnd w:id="64"/>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 在响应文件提交截止时间前，采购人可以对磋商文件进行澄清和修改,</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澄清或者修改的内容作为磋商文件的组成部分。澄清或者修改的内容可能影响响应文件编制的，招标代理机构将在提交首次响应文件截止时间至少5日前，在“</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8.2采购人可以视采购项目的具体情况，组织供应商进行现场考察或召开磋商前答疑会，但不单独或分别组织只有一个供应商参加的现场考察和答疑会。</w:t>
      </w:r>
      <w:r/>
    </w:p>
    <w:p>
      <w:pPr>
        <w:pStyle w:val="1086"/>
        <w:ind w:firstLine="640"/>
        <w:jc w:val="both"/>
        <w:keepLines/>
        <w:keepNext/>
        <w:pageBreakBefore w:val="0"/>
        <w:spacing w:beforeAutospacing="0" w:afterAutospacing="0" w:line="440" w:lineRule="exact"/>
        <w:widowControl w:val="off"/>
        <w:rPr>
          <w:color w:val="auto"/>
          <w:highlight w:val="none"/>
        </w:rPr>
      </w:pPr>
      <w:r/>
      <w:bookmarkStart w:id="65" w:name="_Toc20823285"/>
      <w:r/>
      <w:bookmarkStart w:id="66" w:name="_Toc16938529"/>
      <w:r/>
      <w:bookmarkStart w:id="67" w:name="_Toc462564072"/>
      <w:r/>
      <w:bookmarkStart w:id="68" w:name="_Toc120614216"/>
      <w:r/>
      <w:bookmarkStart w:id="69" w:name="_Toc513029213"/>
      <w:r>
        <w:rPr>
          <w:rFonts w:ascii="Times New Roman" w:hAnsi="Times New Roman"/>
          <w:b/>
          <w:color w:val="auto"/>
          <w:sz w:val="32"/>
          <w:szCs w:val="32"/>
          <w:highlight w:val="none"/>
        </w:rPr>
        <w:t xml:space="preserve">三、响应文件的编制</w:t>
      </w:r>
      <w:bookmarkEnd w:id="65"/>
      <w:r/>
      <w:bookmarkEnd w:id="66"/>
      <w:r/>
      <w:bookmarkEnd w:id="67"/>
      <w:r/>
      <w:bookmarkEnd w:id="68"/>
      <w:r/>
      <w:bookmarkEnd w:id="69"/>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70" w:name="_Toc16938530"/>
      <w:r/>
      <w:bookmarkStart w:id="71" w:name="_Toc20823286"/>
      <w:r/>
      <w:bookmarkStart w:id="72" w:name="_Toc513029214"/>
      <w:r/>
      <w:bookmarkStart w:id="73" w:name="_Toc462564073"/>
      <w:r>
        <w:rPr>
          <w:rFonts w:hint="eastAsia" w:ascii="宋体" w:hAnsi="宋体" w:eastAsia="宋体" w:cs="宋体"/>
          <w:b/>
          <w:color w:val="auto"/>
          <w:sz w:val="30"/>
          <w:szCs w:val="30"/>
          <w:highlight w:val="none"/>
        </w:rPr>
        <w:t xml:space="preserve">9、响应文件的语言及度量衡单位</w:t>
      </w:r>
      <w:bookmarkEnd w:id="70"/>
      <w:r/>
      <w:bookmarkEnd w:id="71"/>
      <w:r/>
      <w:bookmarkEnd w:id="72"/>
      <w:r/>
      <w:bookmarkEnd w:id="73"/>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9.1供应商提交的响应文件以及供应商与招标代理机构就有关磋商的所有来往通知、函件和文件均应使用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74" w:name="_Toc20823287"/>
      <w:r/>
      <w:bookmarkStart w:id="75" w:name="_Toc462564074"/>
      <w:r/>
      <w:bookmarkStart w:id="76" w:name="_Toc16938531"/>
      <w:r/>
      <w:bookmarkStart w:id="77" w:name="_Toc513029215"/>
      <w:r>
        <w:rPr>
          <w:rFonts w:hint="eastAsia" w:ascii="宋体" w:hAnsi="宋体" w:eastAsia="宋体" w:cs="宋体"/>
          <w:b/>
          <w:color w:val="auto"/>
          <w:sz w:val="30"/>
          <w:szCs w:val="30"/>
          <w:highlight w:val="none"/>
        </w:rPr>
        <w:t xml:space="preserve">10、响应文件构成</w:t>
      </w:r>
      <w:bookmarkEnd w:id="74"/>
      <w:r/>
      <w:bookmarkEnd w:id="75"/>
      <w:r/>
      <w:bookmarkEnd w:id="76"/>
      <w:r/>
      <w:bookmarkEnd w:id="77"/>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“江苏政府采购网”、“盐城市政府采购网”发布的磋商文件不一致，请以“</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“江苏政府采购网”、发布的磋商文件为准。</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78" w:name="_Toc49090508"/>
      <w:r/>
      <w:bookmarkStart w:id="79" w:name="_Toc14577357"/>
      <w:r/>
      <w:bookmarkStart w:id="80" w:name="_Toc513029219"/>
      <w:r/>
      <w:bookmarkStart w:id="81" w:name="_Toc14577355"/>
      <w:r/>
      <w:bookmarkStart w:id="82" w:name="_Toc49090507"/>
      <w:r/>
      <w:bookmarkStart w:id="83" w:name="_Toc14577354"/>
      <w:r/>
      <w:bookmarkStart w:id="84" w:name="_Toc513029216"/>
      <w:r/>
      <w:bookmarkStart w:id="85" w:name="_Toc49090509"/>
      <w:r/>
      <w:bookmarkStart w:id="86" w:name="_Hlt26668975"/>
      <w:r/>
      <w:bookmarkStart w:id="87" w:name="_Hlt26954838"/>
      <w:r/>
      <w:bookmarkStart w:id="88" w:name="_Hlt26670360"/>
      <w:r>
        <w:rPr>
          <w:rFonts w:hint="eastAsia" w:ascii="宋体" w:hAnsi="宋体" w:eastAsia="宋体" w:cs="宋体"/>
          <w:b/>
          <w:color w:val="auto"/>
          <w:sz w:val="30"/>
          <w:szCs w:val="30"/>
          <w:highlight w:val="none"/>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11.1供应商应按照磋商文件要求提交证明文件，证明其及磋商响应标的符合磋商文件规定。</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11.2磋商文件对证明文件无明确形式要求的，证明文件可以以文字资料、图纸和数据等形式提交。</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12、分项报价表</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12.1供应商应按照磋商文件规定格式填报分项报价表。</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12.2磋商货币。响应文件中的单价和总价无特殊规定的采用人民币报价，以元为单位标注。磋商文件中另有规定的按规定执行。</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本次采购磋商供应商的总报价应包括磋商供应商为完成竞争性磋商文件所确定的招标范围内的全部服务工作内容所发生的一切费用。</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89" w:name="_Hlt26954731"/>
      <w:r/>
      <w:bookmarkStart w:id="90" w:name="_Hlt26670486"/>
      <w:r/>
      <w:bookmarkStart w:id="91" w:name="_Hlt26670482"/>
      <w:r/>
      <w:bookmarkStart w:id="92" w:name="_Hlt26954848"/>
      <w:r/>
      <w:bookmarkStart w:id="93" w:name="_Hlt26954846"/>
      <w:r>
        <w:rPr>
          <w:rFonts w:hint="eastAsia" w:ascii="宋体" w:hAnsi="宋体" w:eastAsia="宋体" w:cs="宋体"/>
          <w:b/>
          <w:color w:val="auto"/>
          <w:sz w:val="30"/>
          <w:szCs w:val="30"/>
          <w:highlight w:val="none"/>
        </w:rPr>
        <w:t xml:space="preserve">13、技术要求响应及偏离表、商务要求响应及偏离表</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13.1供应商需对磋商文件中的技术要求与商务要求逐项作出响应或偏离，并说明原因。</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14、服务承诺、培训计划、人员安排及其他</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14.2供应商需根据磋商文件要求提供培训计划。</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14.3供应商需根据磋商文件要求提供磋商响应标的的主要组成部分、功能设计、实现思路及关键技术等。</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94" w:name="_Toc14577359"/>
      <w:r/>
      <w:bookmarkStart w:id="95" w:name="_Toc49090510"/>
      <w:r>
        <w:rPr>
          <w:rFonts w:hint="eastAsia" w:ascii="宋体" w:hAnsi="宋体" w:eastAsia="宋体" w:cs="宋体"/>
          <w:b/>
          <w:color w:val="auto"/>
          <w:sz w:val="30"/>
          <w:szCs w:val="30"/>
          <w:highlight w:val="none"/>
        </w:rPr>
        <w:t xml:space="preserve">15、磋商响应函</w:t>
      </w:r>
      <w:bookmarkEnd w:id="94"/>
      <w:r/>
      <w:bookmarkEnd w:id="95"/>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15.1供应商应按照磋商文件中提供的格式完整、正确填写磋商响应函。</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96" w:name="_Toc49090511"/>
      <w:r/>
      <w:bookmarkStart w:id="97" w:name="_Toc14577360"/>
      <w:r>
        <w:rPr>
          <w:rFonts w:hint="eastAsia" w:ascii="宋体" w:hAnsi="宋体" w:eastAsia="宋体" w:cs="宋体"/>
          <w:b/>
          <w:color w:val="auto"/>
          <w:sz w:val="30"/>
          <w:szCs w:val="30"/>
          <w:highlight w:val="none"/>
        </w:rPr>
        <w:t xml:space="preserve">16、磋商有效期</w:t>
      </w:r>
      <w:bookmarkEnd w:id="96"/>
      <w:r/>
      <w:bookmarkEnd w:id="97"/>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16.1磋商有效期为招标人规定的提交响应文件截止之日后</w:t>
      </w:r>
      <w:r>
        <w:rPr>
          <w:rFonts w:ascii="仿宋_GB2312" w:eastAsia="仿宋_GB2312" w:cs="仿宋_GB2312"/>
          <w:b/>
          <w:color w:val="auto"/>
          <w:highlight w:val="none"/>
          <w:u w:val="single"/>
        </w:rPr>
        <w:t xml:space="preserve">六十（60）天</w:t>
      </w:r>
      <w:r>
        <w:rPr>
          <w:rFonts w:hint="eastAsia" w:ascii="宋体" w:hAnsi="宋体" w:eastAsia="宋体" w:cs="宋体"/>
          <w:color w:val="auto"/>
          <w:highlight w:val="none"/>
        </w:rPr>
        <w:t xml:space="preserve">。磋商有效期比规定短的将被视为非实质性响应磋商文件而予以拒绝。</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17、磋商有效期的延长</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17.1在特殊情况下，招标人于原磋商有效期满之前，可向供应商提出延长磋商有效期的要求。这种要求与答复均应采用书面形式。供应商可以拒绝招标人的这一要求而放弃磋商，同意延长磋商有效期的供应商既不能要求也不允许修改其响应文件。受磋商有效期约束的所有权利与义务均延长至新的有效期。</w:t>
      </w:r>
      <w:r/>
    </w:p>
    <w:p>
      <w:pPr>
        <w:pStyle w:val="1086"/>
        <w:ind w:firstLine="640"/>
        <w:jc w:val="both"/>
        <w:keepLines/>
        <w:keepNext/>
        <w:pageBreakBefore w:val="0"/>
        <w:spacing w:beforeAutospacing="0" w:afterAutospacing="0" w:line="440" w:lineRule="exact"/>
        <w:widowControl w:val="off"/>
        <w:rPr>
          <w:color w:val="auto"/>
          <w:highlight w:val="none"/>
        </w:rPr>
      </w:pPr>
      <w:r/>
      <w:bookmarkStart w:id="98" w:name="_Toc120614217"/>
      <w:r/>
      <w:bookmarkStart w:id="99" w:name="_Toc16938540"/>
      <w:r/>
      <w:bookmarkStart w:id="100" w:name="_Toc20823296"/>
      <w:r/>
      <w:bookmarkStart w:id="101" w:name="_Toc513029224"/>
      <w:r/>
      <w:bookmarkStart w:id="102" w:name="_Hlt26954739"/>
      <w:r/>
      <w:bookmarkStart w:id="103" w:name="_Hlt26954852"/>
      <w:r>
        <w:rPr>
          <w:rFonts w:ascii="Times New Roman" w:hAnsi="Times New Roman"/>
          <w:b/>
          <w:color w:val="auto"/>
          <w:sz w:val="32"/>
          <w:szCs w:val="32"/>
          <w:highlight w:val="none"/>
        </w:rPr>
        <w:t xml:space="preserve">四、响应文件的递交</w:t>
      </w:r>
      <w:bookmarkEnd w:id="98"/>
      <w:r/>
      <w:bookmarkEnd w:id="99"/>
      <w:r/>
      <w:bookmarkEnd w:id="100"/>
      <w:r/>
      <w:bookmarkEnd w:id="101"/>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04" w:name="_Toc462564084"/>
      <w:r/>
      <w:bookmarkStart w:id="105" w:name="_Toc513029225"/>
      <w:r/>
      <w:bookmarkStart w:id="106" w:name="_Toc20823297"/>
      <w:r/>
      <w:bookmarkStart w:id="107" w:name="_Toc16938541"/>
      <w:r>
        <w:rPr>
          <w:rFonts w:hint="eastAsia" w:ascii="宋体" w:hAnsi="宋体" w:eastAsia="宋体" w:cs="宋体"/>
          <w:b/>
          <w:color w:val="auto"/>
          <w:sz w:val="30"/>
          <w:szCs w:val="30"/>
          <w:highlight w:val="none"/>
        </w:rPr>
        <w:t xml:space="preserve">18、电子磋商</w:t>
      </w:r>
      <w:bookmarkEnd w:id="104"/>
      <w:r/>
      <w:bookmarkEnd w:id="105"/>
      <w:r/>
      <w:bookmarkEnd w:id="106"/>
      <w:r/>
      <w:bookmarkEnd w:id="107"/>
      <w:r>
        <w:rPr>
          <w:rFonts w:hint="eastAsia" w:ascii="宋体" w:hAnsi="宋体" w:eastAsia="宋体" w:cs="宋体"/>
          <w:b/>
          <w:color w:val="auto"/>
          <w:sz w:val="30"/>
          <w:szCs w:val="30"/>
          <w:highlight w:val="none"/>
        </w:rPr>
        <w:t xml:space="preserve">响应文件的递交</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19、提交响应文件截止时间</w:t>
      </w:r>
      <w:r/>
    </w:p>
    <w:p>
      <w:pPr>
        <w:pStyle w:val="1086"/>
        <w:ind w:firstLine="480"/>
        <w:jc w:val="both"/>
        <w:pageBreakBefore w:val="0"/>
        <w:spacing w:beforeAutospacing="0" w:afterAutospacing="0" w:line="440" w:lineRule="exact"/>
        <w:widowControl w:val="off"/>
        <w:rPr>
          <w:i w:val="0"/>
          <w:iCs/>
          <w:color w:val="auto"/>
          <w:highlight w:val="none"/>
        </w:rPr>
      </w:pPr>
      <w:r>
        <w:rPr>
          <w:rFonts w:hint="eastAsia" w:ascii="宋体" w:hAnsi="宋体" w:eastAsia="宋体" w:cs="宋体"/>
          <w:i w:val="0"/>
          <w:iCs/>
          <w:color w:val="auto"/>
          <w:highlight w:val="none"/>
          <w:u w:val="single"/>
        </w:rPr>
        <w:t xml:space="preserve">19.1供应商上传电子响应文件的时间不得迟于磋商公告中规定的提交响应文件截止时间。</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11" w:name="_Toc513029227"/>
      <w:r/>
      <w:bookmarkStart w:id="112" w:name="_Toc16938543"/>
      <w:r/>
      <w:bookmarkStart w:id="113" w:name="_Toc20823299"/>
      <w:r>
        <w:rPr>
          <w:rFonts w:hint="eastAsia" w:ascii="宋体" w:hAnsi="宋体" w:eastAsia="宋体" w:cs="宋体"/>
          <w:b/>
          <w:color w:val="auto"/>
          <w:sz w:val="30"/>
          <w:szCs w:val="30"/>
          <w:highlight w:val="none"/>
        </w:rPr>
        <w:t xml:space="preserve">20、响应文件</w:t>
      </w:r>
      <w:bookmarkEnd w:id="111"/>
      <w:r/>
      <w:bookmarkEnd w:id="112"/>
      <w:r/>
      <w:bookmarkEnd w:id="113"/>
      <w:r>
        <w:rPr>
          <w:rFonts w:hint="eastAsia" w:ascii="宋体" w:hAnsi="宋体" w:eastAsia="宋体" w:cs="宋体"/>
          <w:b/>
          <w:color w:val="auto"/>
          <w:sz w:val="30"/>
          <w:szCs w:val="30"/>
          <w:highlight w:val="none"/>
        </w:rPr>
        <w:t xml:space="preserve">的拒收</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20.1招标代理机构拒绝接收在其规定的提交响应文件截止时间后上传的任何电子响应文件。</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14" w:name="_Toc20823300"/>
      <w:r/>
      <w:bookmarkStart w:id="115" w:name="_Toc513029228"/>
      <w:r/>
      <w:bookmarkStart w:id="116" w:name="_Toc16938544"/>
      <w:r>
        <w:rPr>
          <w:rFonts w:hint="eastAsia" w:ascii="宋体" w:hAnsi="宋体" w:eastAsia="宋体" w:cs="宋体"/>
          <w:b/>
          <w:color w:val="auto"/>
          <w:sz w:val="30"/>
          <w:szCs w:val="30"/>
          <w:highlight w:val="none"/>
        </w:rPr>
        <w:t xml:space="preserve">21、响应文件的撤回和修改</w:t>
      </w:r>
      <w:bookmarkEnd w:id="114"/>
      <w:r/>
      <w:bookmarkEnd w:id="115"/>
      <w:r/>
      <w:bookmarkEnd w:id="116"/>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21.1响应文件的撤回</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21.1.1 电子响应文件的撤回</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21.2响应文件的修改</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1086"/>
        <w:ind w:firstLine="640"/>
        <w:jc w:val="both"/>
        <w:keepLines/>
        <w:keepNext/>
        <w:pageBreakBefore w:val="0"/>
        <w:spacing w:beforeAutospacing="0" w:afterAutospacing="0" w:line="440" w:lineRule="exact"/>
        <w:widowControl w:val="off"/>
        <w:rPr>
          <w:color w:val="auto"/>
          <w:highlight w:val="none"/>
        </w:rPr>
      </w:pPr>
      <w:r/>
      <w:bookmarkStart w:id="117" w:name="_Toc513029229"/>
      <w:r/>
      <w:bookmarkStart w:id="118" w:name="_Toc16938545"/>
      <w:r/>
      <w:bookmarkStart w:id="119" w:name="_Toc120614218"/>
      <w:r/>
      <w:bookmarkStart w:id="120" w:name="_Toc20823301"/>
      <w:r>
        <w:rPr>
          <w:rFonts w:ascii="Times New Roman" w:hAnsi="Times New Roman"/>
          <w:b/>
          <w:color w:val="auto"/>
          <w:sz w:val="32"/>
          <w:szCs w:val="32"/>
          <w:highlight w:val="none"/>
        </w:rPr>
        <w:t xml:space="preserve">五、响应文件的解密与评审</w:t>
      </w:r>
      <w:bookmarkEnd w:id="117"/>
      <w:r/>
      <w:bookmarkEnd w:id="118"/>
      <w:r/>
      <w:bookmarkEnd w:id="119"/>
      <w:r/>
      <w:bookmarkEnd w:id="120"/>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21" w:name="_Toc20823302"/>
      <w:r/>
      <w:bookmarkStart w:id="122" w:name="_Toc513029230"/>
      <w:r/>
      <w:bookmarkStart w:id="123" w:name="_Toc16938546"/>
      <w:r>
        <w:rPr>
          <w:rFonts w:hint="eastAsia" w:ascii="宋体" w:hAnsi="宋体" w:eastAsia="宋体" w:cs="宋体"/>
          <w:b/>
          <w:color w:val="auto"/>
          <w:sz w:val="30"/>
          <w:szCs w:val="30"/>
          <w:highlight w:val="none"/>
        </w:rPr>
        <w:t xml:space="preserve">22、</w:t>
      </w:r>
      <w:bookmarkEnd w:id="121"/>
      <w:r/>
      <w:bookmarkEnd w:id="122"/>
      <w:r/>
      <w:bookmarkEnd w:id="123"/>
      <w:r>
        <w:rPr>
          <w:rFonts w:hint="eastAsia" w:ascii="宋体" w:hAnsi="宋体" w:eastAsia="宋体" w:cs="宋体"/>
          <w:b/>
          <w:color w:val="auto"/>
          <w:sz w:val="30"/>
          <w:szCs w:val="30"/>
          <w:highlight w:val="none"/>
        </w:rPr>
        <w:t xml:space="preserve">响应文件解密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22.1供应商应当按照《操作手册》规定，在苏采云系统规定的时间内对磋商响应文件进行解密。</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24" w:name="_Toc20823303"/>
      <w:r/>
      <w:bookmarkStart w:id="125" w:name="_Toc16938547"/>
      <w:r/>
      <w:bookmarkStart w:id="126" w:name="_Toc513029231"/>
      <w:r>
        <w:rPr>
          <w:rFonts w:hint="eastAsia" w:ascii="宋体" w:hAnsi="宋体" w:eastAsia="宋体" w:cs="宋体"/>
          <w:b/>
          <w:color w:val="auto"/>
          <w:sz w:val="30"/>
          <w:szCs w:val="30"/>
          <w:highlight w:val="none"/>
        </w:rPr>
        <w:t xml:space="preserve">23、磋商小组</w:t>
      </w:r>
      <w:bookmarkEnd w:id="124"/>
      <w:r/>
      <w:bookmarkEnd w:id="125"/>
      <w:r/>
      <w:bookmarkEnd w:id="126"/>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23.1招标代理机构将组织磋商小组对响应文件进行评审。磋商小组由采购人代表和有关技术、经济等方面的专家组成，且人员构成符合政府采购有关规定。</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23.2磋商小组独立工作，负责评审所有响应文件并确定成交侯选人。</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24、评审过程的保密与公正</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24.1磋商小组、采购人和招标代理机构工作人员、相关监督人员等与评审工作有关的人员，对评审情况以及在评审过程中获悉的国家秘密、商业秘密负有保密责任。</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24.2在评审过程中，供应商不得以任何行为影响磋商评审过程，否则其响应文件将被作为无效响应文件。</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24.3在项目评审期间，招标代理机构将设专门人员与供应商联系。</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24.4 采购人、招标代理机构和磋商小组不向未成交的供应商解释未成交原因，也不公布评审过程中的相关细节。</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27" w:name="_Toc513029232"/>
      <w:r/>
      <w:bookmarkStart w:id="128" w:name="_Toc16938548"/>
      <w:r/>
      <w:bookmarkStart w:id="129" w:name="_Toc20823304"/>
      <w:r>
        <w:rPr>
          <w:rFonts w:hint="eastAsia" w:ascii="宋体" w:hAnsi="宋体" w:eastAsia="宋体" w:cs="宋体"/>
          <w:b/>
          <w:color w:val="auto"/>
          <w:sz w:val="30"/>
          <w:szCs w:val="30"/>
          <w:highlight w:val="none"/>
        </w:rPr>
        <w:t xml:space="preserve">25、评审过程中的的澄清</w:t>
      </w:r>
      <w:bookmarkEnd w:id="127"/>
      <w:r/>
      <w:bookmarkEnd w:id="128"/>
      <w:r/>
      <w:bookmarkEnd w:id="129"/>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磋商小组并非对每个供应商都作澄清要求。</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25.3 接到磋商小组澄清、说明和更正要求的供应商如未按规定做出澄清、说明和 更正，其风险由供应商自行承担。</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30" w:name="_Toc20823305"/>
      <w:r/>
      <w:bookmarkStart w:id="131" w:name="_Toc513029233"/>
      <w:r/>
      <w:bookmarkStart w:id="132" w:name="_Toc16938549"/>
      <w:r>
        <w:rPr>
          <w:rFonts w:hint="eastAsia" w:ascii="宋体" w:hAnsi="宋体" w:eastAsia="宋体" w:cs="宋体"/>
          <w:b/>
          <w:color w:val="auto"/>
          <w:sz w:val="30"/>
          <w:szCs w:val="30"/>
          <w:highlight w:val="none"/>
        </w:rPr>
        <w:t xml:space="preserve">26、对响应文件的审</w:t>
      </w:r>
      <w:bookmarkEnd w:id="130"/>
      <w:r/>
      <w:bookmarkEnd w:id="131"/>
      <w:r/>
      <w:bookmarkEnd w:id="132"/>
      <w:r>
        <w:rPr>
          <w:rFonts w:hint="eastAsia" w:ascii="宋体" w:hAnsi="宋体" w:eastAsia="宋体" w:cs="宋体"/>
          <w:b/>
          <w:color w:val="auto"/>
          <w:sz w:val="30"/>
          <w:szCs w:val="30"/>
          <w:highlight w:val="none"/>
        </w:rPr>
        <w:t xml:space="preserve">查</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26.1响应文件审查分为资格审查和符合性审查。</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26.3未实质性响应磋商文件的情形</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26.3.4供应商不具备磋商文件中规定资格要求的。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26.3.5供应商的最后报价超过了采购预算。</w:t>
      </w:r>
      <w:r/>
    </w:p>
    <w:p>
      <w:pPr>
        <w:pStyle w:val="1086"/>
        <w:ind w:firstLine="480"/>
        <w:jc w:val="both"/>
        <w:pageBreakBefore w:val="0"/>
        <w:spacing w:beforeAutospacing="0" w:afterAutospacing="0" w:line="440" w:lineRule="exact"/>
        <w:widowControl w:val="off"/>
        <w:rPr>
          <w:i w:val="0"/>
          <w:iCs/>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val="0"/>
          <w:iCs/>
          <w:color w:val="auto"/>
          <w:highlight w:val="none"/>
          <w:u w:val="single"/>
        </w:rPr>
        <w:t xml:space="preserve">（本磋商文件中斜体且有下划线部分为实质性要求和条件）。</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26.3.10供应商不能证明其报价合理性的，磋商小组应当将其作为无效响应处理。</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（一）评审过程中出现下列情形之一的，磋商小组应当启动异常低价响应审查程序：</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1.响应报价低于采购项目预算50%的，即响应报价&lt;采购项目预算×50%；</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2.响应报价低于采购项目最高限价45%的，即响应报价&lt;采购项目最高限价×45%；</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3.磋商小组认定的供应商报价过低、有可能影响产品质量或者不能诚信履约的其他情形。</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26.3.1</w:t>
      </w:r>
      <w:r>
        <w:rPr>
          <w:rFonts w:hint="eastAsia" w:ascii="宋体" w:hAnsi="宋体" w:eastAsia="宋体" w:cs="宋体"/>
          <w:color w:val="auto"/>
          <w:highlight w:val="none"/>
          <w:lang w:val="en-US" w:eastAsia="zh-CN"/>
        </w:rPr>
        <w:t xml:space="preserve">1 </w:t>
      </w:r>
      <w:r>
        <w:rPr>
          <w:rFonts w:hint="eastAsia" w:ascii="宋体" w:hAnsi="宋体" w:eastAsia="宋体" w:cs="宋体"/>
          <w:color w:val="auto"/>
          <w:highlight w:val="none"/>
        </w:rPr>
        <w:t xml:space="preserve">响应文件未按照磋商文件要求加盖CA电子公章的。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26.4未实质性响应磋商文件的响应文件按无效响应处理。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26.5如果响应文件实质上没有响应磋商文件的要求，磋商小组将予以拒绝，供应商不得通过修改或撤销不合要求的偏离或保留而使其成为实质性响应的文件。</w:t>
      </w:r>
      <w:r/>
    </w:p>
    <w:p>
      <w:pPr>
        <w:pStyle w:val="1086"/>
        <w:ind w:firstLine="480"/>
        <w:jc w:val="both"/>
        <w:pageBreakBefore w:val="0"/>
        <w:spacing w:beforeAutospacing="0" w:afterAutospacing="0" w:line="440" w:lineRule="exact"/>
        <w:widowControl w:val="off"/>
        <w:rPr>
          <w:color w:val="auto"/>
          <w:highlight w:val="none"/>
        </w:rPr>
      </w:pPr>
      <w:r/>
      <w:bookmarkStart w:id="133" w:name="_Toc20823306"/>
      <w:r/>
      <w:bookmarkStart w:id="134" w:name="_Toc16938550"/>
      <w:r/>
      <w:bookmarkStart w:id="135" w:name="_Toc513029234"/>
      <w:r>
        <w:rPr>
          <w:rFonts w:hint="eastAsia" w:ascii="宋体" w:hAnsi="宋体" w:eastAsia="宋体" w:cs="宋体"/>
          <w:color w:val="auto"/>
          <w:highlight w:val="none"/>
        </w:rPr>
        <w:t xml:space="preserve">26.6供应商在项目评审全过程中应保持通讯畅通，并安排专人与招标代理机构及磋商小组联系。</w:t>
      </w:r>
      <w:bookmarkEnd w:id="133"/>
      <w:r/>
      <w:bookmarkEnd w:id="134"/>
      <w:r/>
      <w:bookmarkEnd w:id="135"/>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27、磋商程序及评审方法和评审标准</w:t>
      </w:r>
      <w:r/>
    </w:p>
    <w:p>
      <w:pPr>
        <w:pStyle w:val="1086"/>
        <w:ind w:firstLine="480"/>
        <w:jc w:val="both"/>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27.1磋商程序</w:t>
      </w:r>
      <w:r/>
    </w:p>
    <w:p>
      <w:pPr>
        <w:pStyle w:val="1086"/>
        <w:ind w:firstLine="480"/>
        <w:jc w:val="both"/>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86"/>
        <w:ind w:firstLine="480"/>
        <w:jc w:val="both"/>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86"/>
        <w:ind w:firstLine="480"/>
        <w:jc w:val="both"/>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440" w:lineRule="exact"/>
        <w:widowControl w:val="off"/>
        <w:tabs>
          <w:tab w:val="left" w:pos="900" w:leader="none"/>
        </w:tabs>
        <w:rPr>
          <w:color w:val="auto"/>
          <w:highlight w:val="none"/>
        </w:rPr>
      </w:pPr>
      <w:r>
        <w:rPr>
          <w:rFonts w:hint="eastAsia" w:ascii="宋体" w:hAnsi="宋体" w:eastAsia="宋体" w:cs="宋体"/>
          <w:color w:val="auto"/>
          <w:sz w:val="24"/>
          <w:szCs w:val="3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auto"/>
          <w:sz w:val="24"/>
          <w:highlight w:val="none"/>
        </w:rPr>
        <w:t xml:space="preserve">(报价分二轮，第一轮报价做在响应文件中；第二轮报价在磋商现场网上填报，二轮报价为最后报价。如果项目需求没有变化，最后报价金额须低于投标人自己第一轮报价的金额，否则价格分为零分)。</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27.2 评审方法和评审标准</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27.2.2评审标准</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见本磋商文件第五章规定。</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27.3采购活动终止的情况</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27.3.2出现影响采购公正的违法、违规行为的。</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1086"/>
        <w:ind w:firstLine="480"/>
        <w:jc w:val="both"/>
        <w:keepLines w:val="0"/>
        <w:keepNext w:val="0"/>
        <w:pageBreakBefore w:val="0"/>
        <w:spacing w:beforeAutospacing="0" w:afterAutospacing="0" w:line="440" w:lineRule="exact"/>
        <w:widowControl w:val="off"/>
        <w:tabs>
          <w:tab w:val="left" w:pos="901" w:leader="none"/>
        </w:tabs>
        <w:rPr>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1086"/>
        <w:ind w:firstLine="640"/>
        <w:jc w:val="both"/>
        <w:keepLines/>
        <w:keepNext/>
        <w:pageBreakBefore w:val="0"/>
        <w:spacing w:beforeAutospacing="0" w:afterAutospacing="0" w:line="440" w:lineRule="exact"/>
        <w:widowControl w:val="off"/>
        <w:rPr>
          <w:color w:val="auto"/>
          <w:highlight w:val="none"/>
        </w:rPr>
      </w:pPr>
      <w:r/>
      <w:bookmarkStart w:id="136" w:name="_Toc120614219"/>
      <w:r/>
      <w:bookmarkStart w:id="137" w:name="_Toc16938551"/>
      <w:r/>
      <w:bookmarkStart w:id="138" w:name="_Toc513029235"/>
      <w:r/>
      <w:bookmarkStart w:id="139" w:name="_Toc20823307"/>
      <w:r>
        <w:rPr>
          <w:rFonts w:ascii="Times New Roman" w:hAnsi="Times New Roman"/>
          <w:b/>
          <w:color w:val="auto"/>
          <w:sz w:val="32"/>
          <w:szCs w:val="32"/>
          <w:highlight w:val="none"/>
        </w:rPr>
        <w:t xml:space="preserve">六、</w:t>
      </w:r>
      <w:bookmarkEnd w:id="136"/>
      <w:r/>
      <w:bookmarkEnd w:id="137"/>
      <w:r/>
      <w:bookmarkEnd w:id="138"/>
      <w:r/>
      <w:bookmarkEnd w:id="139"/>
      <w:r>
        <w:rPr>
          <w:rFonts w:ascii="Times New Roman" w:hAnsi="Times New Roman"/>
          <w:b/>
          <w:color w:val="auto"/>
          <w:sz w:val="32"/>
          <w:szCs w:val="32"/>
          <w:highlight w:val="none"/>
        </w:rPr>
        <w:t xml:space="preserve">成交</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40" w:name="_Toc20823310"/>
      <w:r/>
      <w:bookmarkStart w:id="141" w:name="_Toc16938554"/>
      <w:r/>
      <w:bookmarkStart w:id="142" w:name="_Toc513029238"/>
      <w:r>
        <w:rPr>
          <w:rFonts w:hint="eastAsia" w:ascii="宋体" w:hAnsi="宋体" w:eastAsia="宋体" w:cs="宋体"/>
          <w:b/>
          <w:color w:val="auto"/>
          <w:sz w:val="30"/>
          <w:szCs w:val="30"/>
          <w:highlight w:val="none"/>
        </w:rPr>
        <w:t xml:space="preserve">28、</w:t>
      </w:r>
      <w:bookmarkEnd w:id="140"/>
      <w:r>
        <w:rPr>
          <w:rFonts w:hint="eastAsia" w:ascii="宋体" w:hAnsi="宋体" w:eastAsia="宋体" w:cs="宋体"/>
          <w:b/>
          <w:color w:val="auto"/>
          <w:sz w:val="30"/>
          <w:szCs w:val="30"/>
          <w:highlight w:val="none"/>
        </w:rPr>
        <w:t xml:space="preserve">确定</w:t>
      </w:r>
      <w:bookmarkEnd w:id="141"/>
      <w:r/>
      <w:bookmarkEnd w:id="142"/>
      <w:r>
        <w:rPr>
          <w:rFonts w:hint="eastAsia" w:ascii="宋体" w:hAnsi="宋体" w:eastAsia="宋体" w:cs="宋体"/>
          <w:b/>
          <w:color w:val="auto"/>
          <w:sz w:val="30"/>
          <w:szCs w:val="30"/>
          <w:highlight w:val="none"/>
        </w:rPr>
        <w:t xml:space="preserve">成交单位</w:t>
      </w:r>
      <w:r/>
    </w:p>
    <w:p>
      <w:pPr>
        <w:pStyle w:val="1086"/>
        <w:ind w:firstLine="480"/>
        <w:jc w:val="both"/>
        <w:pageBreakBefore w:val="0"/>
        <w:spacing w:beforeAutospacing="0" w:afterAutospacing="0" w:line="440" w:lineRule="exact"/>
        <w:widowControl w:val="off"/>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86"/>
        <w:ind w:firstLine="480"/>
        <w:jc w:val="both"/>
        <w:pageBreakBefore w:val="0"/>
        <w:spacing w:beforeAutospacing="0" w:afterAutospacing="0" w:line="440" w:lineRule="exact"/>
        <w:widowControl w:val="off"/>
        <w:rPr>
          <w:b/>
          <w:bCs/>
          <w:color w:val="auto"/>
          <w:highlight w:val="none"/>
        </w:rPr>
      </w:pPr>
      <w:r>
        <w:rPr>
          <w:rFonts w:hint="eastAsia" w:ascii="宋体" w:hAnsi="宋体" w:eastAsia="宋体" w:cs="宋体"/>
          <w:color w:val="auto"/>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
          <w:bCs/>
          <w:color w:val="auto"/>
          <w:highlight w:val="none"/>
        </w:rPr>
        <w:t xml:space="preserve">招标代理机构将在“江苏政府采购网”、发布成交结果公告，公告期限为1个工作日。</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28.3若有充分证据证明，成交供应商出现下列情况之一的，一经查实，将被取消成交资格：</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28.3.1提供虚假材料谋取成交的。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28.3.2与评审专家、采购人、其他供应商或者招标代理机构工作人员恶意串通的。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28.3.3向评审专家、采购人或招标代理机构工作人员行贿或者提供其他不正当利益的。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28.3.7将政府采购合同转包的。</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43" w:name="_Toc200451960"/>
      <w:r>
        <w:rPr>
          <w:rFonts w:hint="eastAsia" w:ascii="宋体" w:hAnsi="宋体" w:eastAsia="宋体" w:cs="宋体"/>
          <w:b/>
          <w:color w:val="auto"/>
          <w:sz w:val="30"/>
          <w:szCs w:val="30"/>
          <w:highlight w:val="none"/>
        </w:rPr>
        <w:t xml:space="preserve">29、质疑处理</w:t>
      </w:r>
      <w:bookmarkEnd w:id="143"/>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29.4条款的规定向招标代理机构或采购人提出质疑。上述应知其权益受到损害之日，是指：</w:t>
      </w:r>
      <w:r/>
    </w:p>
    <w:p>
      <w:pPr>
        <w:pStyle w:val="1086"/>
        <w:ind w:firstLine="480"/>
        <w:jc w:val="both"/>
        <w:pageBreakBefore w:val="0"/>
        <w:spacing w:beforeAutospacing="0" w:afterAutospacing="0" w:line="440" w:lineRule="exact"/>
        <w:widowControl w:val="off"/>
        <w:rPr>
          <w:rFonts w:hint="eastAsia" w:ascii="Times New Roman" w:hAnsi="Times New Roman" w:eastAsiaTheme="minorEastAsia"/>
          <w:color w:val="auto"/>
          <w:highlight w:val="none"/>
          <w:lang w:eastAsia="zh-CN"/>
        </w:rPr>
      </w:pPr>
      <w:r>
        <w:rPr>
          <w:rFonts w:hint="eastAsia" w:ascii="宋体" w:hAnsi="宋体" w:eastAsia="宋体" w:cs="宋体"/>
          <w:color w:val="auto"/>
          <w:highlight w:val="none"/>
        </w:rPr>
        <w:t xml:space="preserve">29.2.1</w:t>
      </w:r>
      <w:r>
        <w:rPr>
          <w:rFonts w:ascii="Times New Roman" w:hAnsi="Times New Roman"/>
          <w:color w:val="auto"/>
          <w:highlight w:val="none"/>
        </w:rPr>
        <w:t xml:space="preserve">对可以质疑的采购文件提出质疑的，为收到采购文件之日或者采购文件公告期限届满之日。</w:t>
      </w:r>
      <w:r/>
    </w:p>
    <w:p>
      <w:pPr>
        <w:pStyle w:val="1086"/>
        <w:ind w:firstLine="480"/>
        <w:jc w:val="both"/>
        <w:pageBreakBefore w:val="0"/>
        <w:spacing w:beforeAutospacing="0" w:afterAutospacing="0" w:line="440" w:lineRule="exact"/>
        <w:widowControl w:val="off"/>
        <w:rPr>
          <w:rFonts w:hint="eastAsia" w:ascii="Times New Roman" w:hAnsi="Times New Roman" w:eastAsiaTheme="minorEastAsia"/>
          <w:color w:val="auto"/>
          <w:highlight w:val="none"/>
          <w:lang w:eastAsia="zh-CN"/>
        </w:rPr>
      </w:pPr>
      <w:r>
        <w:rPr>
          <w:rFonts w:hint="eastAsia" w:ascii="宋体" w:hAnsi="宋体" w:eastAsia="宋体" w:cs="宋体"/>
          <w:color w:val="auto"/>
          <w:highlight w:val="none"/>
        </w:rPr>
        <w:t xml:space="preserve">29.2.2</w:t>
      </w:r>
      <w:r>
        <w:rPr>
          <w:rFonts w:ascii="Times New Roman" w:hAnsi="Times New Roman"/>
          <w:color w:val="auto"/>
          <w:highlight w:val="none"/>
        </w:rPr>
        <w:t xml:space="preserve">对采购过程提出质疑的，为各采购程序环节结束之日。</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29.2.3</w:t>
      </w:r>
      <w:r>
        <w:rPr>
          <w:rFonts w:ascii="Times New Roman" w:hAnsi="Times New Roman"/>
          <w:color w:val="auto"/>
          <w:highlight w:val="none"/>
        </w:rPr>
        <w:t xml:space="preserve">对成交结果提出质疑的，为成交结果公告期限届满之日。</w:t>
      </w:r>
      <w:r/>
    </w:p>
    <w:p>
      <w:pPr>
        <w:pStyle w:val="1086"/>
        <w:ind w:firstLine="480"/>
        <w:jc w:val="both"/>
        <w:pageBreakBefore w:val="0"/>
        <w:spacing w:beforeAutospacing="0" w:afterAutospacing="0" w:line="440" w:lineRule="exact"/>
        <w:widowControl w:val="off"/>
        <w:rPr>
          <w:color w:val="auto"/>
          <w:highlight w:val="none"/>
        </w:rPr>
      </w:pPr>
      <w:r>
        <w:rPr>
          <w:rFonts w:ascii="Times New Roman" w:hAnsi="Times New Roman"/>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pStyle w:val="1086"/>
        <w:ind w:firstLine="480"/>
        <w:jc w:val="both"/>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采购人只接收以纸质原件形式送达的质疑,采购人不接受未填写快递运单的快件。</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 以下情形的质疑不予受理</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29.5.2 超出政府采购法定期限的质疑。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29.5.4 未参加磋商活动的供应商或在磋商活动中自身权益未受到损害的供应商所提出的质疑。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30、成交通知书</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86"/>
        <w:ind w:firstLine="640"/>
        <w:jc w:val="both"/>
        <w:keepLines/>
        <w:keepNext/>
        <w:pageBreakBefore w:val="0"/>
        <w:spacing w:beforeAutospacing="0" w:afterAutospacing="0" w:line="440" w:lineRule="exact"/>
        <w:widowControl w:val="off"/>
        <w:rPr>
          <w:color w:val="auto"/>
          <w:highlight w:val="none"/>
        </w:rPr>
      </w:pPr>
      <w:r/>
      <w:bookmarkStart w:id="144" w:name="_Toc120614220"/>
      <w:r/>
      <w:bookmarkStart w:id="145" w:name="_Toc16938552"/>
      <w:r/>
      <w:bookmarkStart w:id="146" w:name="_Toc20823308"/>
      <w:r/>
      <w:bookmarkStart w:id="147" w:name="_Toc513029236"/>
      <w:r>
        <w:rPr>
          <w:rFonts w:ascii="Times New Roman" w:hAnsi="Times New Roman"/>
          <w:b/>
          <w:color w:val="auto"/>
          <w:sz w:val="32"/>
          <w:szCs w:val="32"/>
          <w:highlight w:val="none"/>
        </w:rPr>
        <w:t xml:space="preserve">七、授予合同</w:t>
      </w:r>
      <w:bookmarkEnd w:id="144"/>
      <w:r/>
      <w:bookmarkEnd w:id="145"/>
      <w:r/>
      <w:bookmarkEnd w:id="146"/>
      <w:r/>
      <w:bookmarkEnd w:id="147"/>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bookmarkStart w:id="148" w:name="_Toc16938553"/>
      <w:r/>
      <w:bookmarkStart w:id="149" w:name="_Toc513029237"/>
      <w:r/>
      <w:bookmarkStart w:id="150" w:name="_Toc20823309"/>
      <w:r>
        <w:rPr>
          <w:rFonts w:hint="eastAsia" w:ascii="宋体" w:hAnsi="宋体" w:eastAsia="宋体" w:cs="宋体"/>
          <w:b/>
          <w:color w:val="auto"/>
          <w:sz w:val="30"/>
          <w:szCs w:val="30"/>
          <w:highlight w:val="none"/>
        </w:rPr>
        <w:t xml:space="preserve">31. 签订合同</w:t>
      </w:r>
      <w:bookmarkEnd w:id="148"/>
      <w:r/>
      <w:bookmarkEnd w:id="149"/>
      <w:r/>
      <w:bookmarkEnd w:id="150"/>
      <w:r/>
      <w:r/>
    </w:p>
    <w:p>
      <w:pPr>
        <w:pStyle w:val="1086"/>
        <w:ind w:firstLine="480"/>
        <w:jc w:val="both"/>
        <w:keepLines/>
        <w:keepNext/>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31.l成交供应商应当在成交通知书发出之日起三十日内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原则上应在15日内签订采购合同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，按照磋商文件确定的事项与采购人签订政府采购合同。合同签订之日起2个工作日内公告采购合同。</w:t>
      </w:r>
      <w:r/>
    </w:p>
    <w:p>
      <w:pPr>
        <w:pStyle w:val="1086"/>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31.2磋商文件、成交供应商的响应文件及磋商过程中有关澄清、承诺文件均应作为合同附件。</w:t>
      </w:r>
      <w:r/>
    </w:p>
    <w:p>
      <w:pPr>
        <w:pStyle w:val="1086"/>
        <w:ind w:firstLine="480"/>
        <w:jc w:val="both"/>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val="0"/>
          <w:iCs/>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32、标的物的追加</w:t>
      </w:r>
      <w:r/>
    </w:p>
    <w:p>
      <w:pPr>
        <w:pStyle w:val="1086"/>
        <w:ind w:firstLine="480"/>
        <w:jc w:val="both"/>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33、收费 </w:t>
      </w:r>
      <w:r/>
    </w:p>
    <w:p>
      <w:pPr>
        <w:ind w:firstLine="480"/>
        <w:keepLines w:val="0"/>
        <w:keepNext w:val="0"/>
        <w:pageBreakBefore w:val="0"/>
        <w:spacing w:line="440" w:lineRule="exact"/>
        <w:widowControl w:val="off"/>
        <w:rPr>
          <w:rFonts w:hint="eastAsia" w:ascii="宋体" w:hAnsi="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33.1</w:t>
      </w:r>
      <w:r>
        <w:rPr>
          <w:rFonts w:hint="eastAsia" w:ascii="宋体" w:hAnsi="宋体" w:cs="Times New Roman"/>
          <w:color w:val="auto"/>
          <w:sz w:val="24"/>
          <w:szCs w:val="24"/>
          <w:highlight w:val="none"/>
        </w:rPr>
        <w:t xml:space="preserve">收费标准：</w:t>
      </w:r>
      <w:r>
        <w:rPr>
          <w:rFonts w:hint="eastAsia" w:ascii="宋体" w:hAnsi="宋体" w:eastAsia="宋体" w:cs="Times New Roman"/>
          <w:color w:val="auto"/>
          <w:sz w:val="24"/>
          <w:szCs w:val="24"/>
          <w:highlight w:val="none"/>
          <w:lang w:val="en-US" w:eastAsia="zh-CN"/>
        </w:rPr>
        <w:t xml:space="preserve">本次</w:t>
      </w:r>
      <w:r>
        <w:rPr>
          <w:rFonts w:hint="eastAsia" w:ascii="宋体" w:hAnsi="宋体" w:cs="Times New Roman"/>
          <w:color w:val="auto"/>
          <w:sz w:val="24"/>
          <w:szCs w:val="24"/>
          <w:highlight w:val="none"/>
        </w:rPr>
        <w:t xml:space="preserve">招标的代理服务费按苏政采协【2024】20号文规定标准计取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由中标单位向招标代理机构支付。</w:t>
      </w:r>
      <w:r/>
    </w:p>
    <w:p>
      <w:pPr>
        <w:ind w:firstLine="480"/>
        <w:keepLines w:val="0"/>
        <w:keepNext w:val="0"/>
        <w:pageBreakBefore w:val="0"/>
        <w:spacing w:line="440" w:lineRule="exact"/>
        <w:widowControl w:val="off"/>
        <w:rPr>
          <w:rFonts w:hint="eastAsia" w:ascii="黑体" w:hAnsi="宋体" w:eastAsia="黑体" w:cs="Times New Roman"/>
          <w:bCs/>
          <w:color w:val="auto"/>
          <w:sz w:val="30"/>
          <w:szCs w:val="30"/>
          <w:highlight w:val="none"/>
          <w:lang w:val="en-US" w:eastAsia="zh-CN" w:bidi="ar-SA"/>
        </w:rPr>
      </w:pPr>
      <w:r>
        <w:rPr>
          <w:rFonts w:hint="eastAsia" w:ascii="宋体" w:hAnsi="宋体" w:cs="Times New Roman"/>
          <w:color w:val="auto"/>
          <w:sz w:val="24"/>
          <w:szCs w:val="24"/>
          <w:highlight w:val="none"/>
        </w:rPr>
        <w:t xml:space="preserve">收款帐户为：</w:t>
      </w:r>
      <w:r>
        <w:rPr>
          <w:rFonts w:hint="eastAsia" w:ascii="宋体" w:hAnsi="宋体" w:cs="Times New Roman"/>
          <w:color w:val="auto"/>
          <w:sz w:val="24"/>
          <w:szCs w:val="24"/>
          <w:highlight w:val="none"/>
          <w:lang w:val="en-US" w:eastAsia="zh-CN"/>
        </w:rPr>
        <w:t xml:space="preserve">盐城现代建设工程项目管理有限公司</w:t>
      </w:r>
      <w:r>
        <w:rPr>
          <w:rFonts w:hint="eastAsia" w:ascii="宋体" w:hAnsi="宋体" w:cs="Times New Roman"/>
          <w:color w:val="auto"/>
          <w:sz w:val="24"/>
          <w:szCs w:val="24"/>
          <w:highlight w:val="none"/>
        </w:rPr>
        <w:t xml:space="preserve">，开户行：</w:t>
      </w:r>
      <w:r>
        <w:rPr>
          <w:rFonts w:hint="eastAsia" w:ascii="宋体" w:hAnsi="宋体" w:cs="Times New Roman"/>
          <w:color w:val="auto"/>
          <w:sz w:val="24"/>
          <w:szCs w:val="24"/>
          <w:highlight w:val="none"/>
          <w:lang w:val="en-US" w:eastAsia="zh-CN"/>
        </w:rPr>
        <w:t xml:space="preserve">江苏射阳农村商业银行股份有限公司黄海支行</w:t>
      </w:r>
      <w:r>
        <w:rPr>
          <w:rFonts w:hint="eastAsia" w:ascii="宋体" w:hAnsi="宋体" w:cs="Times New Roman"/>
          <w:color w:val="auto"/>
          <w:sz w:val="24"/>
          <w:szCs w:val="24"/>
          <w:highlight w:val="none"/>
        </w:rPr>
        <w:t xml:space="preserve">，账号：</w:t>
      </w:r>
      <w:r>
        <w:rPr>
          <w:rFonts w:hint="eastAsia" w:ascii="宋体" w:hAnsi="宋体" w:cs="Times New Roman"/>
          <w:color w:val="auto"/>
          <w:sz w:val="24"/>
          <w:szCs w:val="24"/>
          <w:highlight w:val="none"/>
          <w:lang w:val="en-US" w:eastAsia="zh-CN"/>
        </w:rPr>
        <w:t xml:space="preserve">3209243001201000000375。</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3</w:t>
      </w:r>
      <w:r>
        <w:rPr>
          <w:rFonts w:hint="eastAsia" w:ascii="宋体" w:hAnsi="宋体" w:eastAsia="宋体" w:cs="宋体"/>
          <w:b/>
          <w:color w:val="auto"/>
          <w:sz w:val="30"/>
          <w:szCs w:val="30"/>
          <w:highlight w:val="none"/>
          <w:lang w:val="en-US" w:eastAsia="zh-CN"/>
        </w:rPr>
        <w:t xml:space="preserve">4</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rPr>
        <w:t xml:space="preserve">政府采购政策功能落实</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34</w:t>
      </w:r>
      <w:r>
        <w:rPr>
          <w:rFonts w:ascii="宋体" w:hAnsi="宋体" w:eastAsia="宋体" w:cs="宋体"/>
          <w:color w:val="auto"/>
          <w:sz w:val="24"/>
          <w:highlight w:val="none"/>
        </w:rPr>
        <w:t xml:space="preserve">.1政府采购线上合同信用融资政策</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3</w:t>
      </w:r>
      <w:r>
        <w:rPr>
          <w:rFonts w:hint="eastAsia" w:ascii="宋体" w:hAnsi="宋体" w:eastAsia="宋体" w:cs="宋体"/>
          <w:b/>
          <w:color w:val="auto"/>
          <w:sz w:val="30"/>
          <w:szCs w:val="30"/>
          <w:highlight w:val="none"/>
          <w:lang w:val="en-US" w:eastAsia="zh-CN"/>
        </w:rPr>
        <w:t xml:space="preserve">5</w:t>
      </w:r>
      <w:r>
        <w:rPr>
          <w:rFonts w:hint="eastAsia" w:ascii="宋体" w:hAnsi="宋体" w:eastAsia="宋体" w:cs="宋体"/>
          <w:b/>
          <w:color w:val="auto"/>
          <w:sz w:val="30"/>
          <w:szCs w:val="30"/>
          <w:highlight w:val="none"/>
        </w:rPr>
        <w:t xml:space="preserve">、履约保证金政策</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确需收取履约保证金的，履约保证金的缴纳形式：</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履约保证金金额不得超过合同金额的1</w:t>
      </w:r>
      <w:r>
        <w:rPr>
          <w:rFonts w:ascii="宋体" w:hAnsi="宋体" w:eastAsia="宋体" w:cs="宋体"/>
          <w:color w:val="auto"/>
          <w:sz w:val="24"/>
          <w:highlight w:val="none"/>
        </w:rPr>
        <w:t xml:space="preserve">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3</w:t>
      </w:r>
      <w:r>
        <w:rPr>
          <w:rFonts w:hint="eastAsia" w:ascii="宋体" w:hAnsi="宋体" w:eastAsia="宋体" w:cs="宋体"/>
          <w:b/>
          <w:color w:val="auto"/>
          <w:sz w:val="30"/>
          <w:szCs w:val="30"/>
          <w:highlight w:val="none"/>
          <w:lang w:val="en-US" w:eastAsia="zh-CN"/>
        </w:rPr>
        <w:t xml:space="preserve">6</w:t>
      </w:r>
      <w:r>
        <w:rPr>
          <w:rFonts w:hint="eastAsia" w:ascii="宋体" w:hAnsi="宋体" w:eastAsia="宋体" w:cs="宋体"/>
          <w:b/>
          <w:color w:val="auto"/>
          <w:sz w:val="30"/>
          <w:szCs w:val="30"/>
          <w:highlight w:val="none"/>
        </w:rPr>
        <w:t xml:space="preserve">、采购项目需满足的政府采购政策目标和具体支持对象</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36</w:t>
      </w:r>
      <w:r>
        <w:rPr>
          <w:rFonts w:ascii="宋体" w:hAnsi="宋体" w:eastAsia="宋体" w:cs="宋体"/>
          <w:color w:val="auto"/>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36</w:t>
      </w:r>
      <w:r>
        <w:rPr>
          <w:rFonts w:ascii="宋体" w:hAnsi="宋体" w:eastAsia="宋体" w:cs="宋体"/>
          <w:color w:val="auto"/>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36</w:t>
      </w:r>
      <w:r>
        <w:rPr>
          <w:rFonts w:ascii="宋体" w:hAnsi="宋体" w:eastAsia="宋体" w:cs="宋体"/>
          <w:color w:val="auto"/>
          <w:sz w:val="24"/>
          <w:highlight w:val="none"/>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.8政府采购落实（苏财购﹝2022﹞51号）。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.9政府采购落实《关于进一步优化政府采购营商环境的通知》（射财库﹝2023﹞23号）。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.10政府采购落实《江苏省财政厅关于加强政府绿色采购有关事项的通知》 （苏财购﹝2023﹞65号）。</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.11政府采购落实财政部办公厅住房和城乡建设部办公厅工业和信息化部办公厅《关于印发&lt;政府采购支技绿色建材促进建筑品质提升政策项目实施指南&gt;的通知》（财库办﹝2023﹞52号）。</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37</w:t>
      </w:r>
      <w:r>
        <w:rPr>
          <w:rFonts w:hint="eastAsia" w:ascii="宋体" w:hAnsi="宋体" w:eastAsia="宋体" w:cs="宋体"/>
          <w:b/>
          <w:color w:val="auto"/>
          <w:sz w:val="30"/>
          <w:szCs w:val="30"/>
          <w:highlight w:val="none"/>
        </w:rPr>
        <w:t xml:space="preserve">、踏勘</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37</w:t>
      </w:r>
      <w:r>
        <w:rPr>
          <w:rFonts w:ascii="宋体" w:hAnsi="宋体" w:eastAsia="宋体" w:cs="宋体"/>
          <w:color w:val="auto"/>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37</w:t>
      </w:r>
      <w:r>
        <w:rPr>
          <w:rFonts w:ascii="宋体" w:hAnsi="宋体" w:eastAsia="宋体" w:cs="宋体"/>
          <w:color w:val="auto"/>
          <w:sz w:val="24"/>
          <w:highlight w:val="none"/>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37</w:t>
      </w:r>
      <w:r>
        <w:rPr>
          <w:rFonts w:ascii="宋体" w:hAnsi="宋体" w:eastAsia="宋体" w:cs="宋体"/>
          <w:color w:val="auto"/>
          <w:sz w:val="24"/>
          <w:highlight w:val="none"/>
        </w:rPr>
        <w:t xml:space="preserve">.3供应商承担踏勘现场所发生的自身费用。</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38、</w:t>
      </w:r>
      <w:r>
        <w:rPr>
          <w:rFonts w:hint="eastAsia" w:ascii="宋体" w:hAnsi="宋体" w:eastAsia="宋体" w:cs="宋体"/>
          <w:b/>
          <w:color w:val="auto"/>
          <w:sz w:val="30"/>
          <w:szCs w:val="30"/>
          <w:highlight w:val="none"/>
        </w:rPr>
        <w:t xml:space="preserve">预付款制度</w:t>
      </w:r>
      <w:r/>
    </w:p>
    <w:p>
      <w:pPr>
        <w:ind w:left="0" w:right="0" w:firstLine="480"/>
        <w:jc w:val="both"/>
        <w:spacing w:before="0" w:after="0" w:line="439" w:lineRule="atLeast"/>
        <w:rPr>
          <w:rFonts w:hint="eastAsia" w:ascii="宋体" w:hAnsi="宋体" w:eastAsia="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本项目落实预付款制度，预付款比例为</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。在签订合同时，</w:t>
      </w:r>
      <w:r>
        <w:rPr>
          <w:rFonts w:hint="eastAsia" w:ascii="宋体" w:hAnsi="宋体" w:eastAsia="宋体" w:cs="宋体"/>
          <w:color w:val="auto"/>
          <w:sz w:val="24"/>
          <w:highlight w:val="none"/>
        </w:rPr>
        <w:t xml:space="preserve">中标人明确表示无需预付款或者主动要求降低预付款比例的金额，可不适用预付款规定,但中标人需提供书面声明，采购人可就预付款比例作相应调整。</w:t>
      </w:r>
      <w:r/>
    </w:p>
    <w:p>
      <w:pPr>
        <w:pStyle w:val="1086"/>
        <w:ind w:firstLine="602"/>
        <w:jc w:val="both"/>
        <w:keepLines/>
        <w:keepNext/>
        <w:pageBreakBefore w:val="0"/>
        <w:spacing w:beforeAutospacing="0" w:afterAutospacing="0" w:line="440" w:lineRule="exact"/>
        <w:widowControl w:val="off"/>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39、落实节能、环保产品政策</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39.1</w:t>
      </w:r>
      <w:r>
        <w:rPr>
          <w:rFonts w:hint="eastAsia" w:ascii="宋体" w:hAnsi="宋体" w:eastAsia="宋体" w:cs="Times New Roman"/>
          <w:color w:val="auto"/>
          <w:sz w:val="24"/>
          <w:szCs w:val="24"/>
          <w:highlight w:val="none"/>
        </w:rPr>
        <w:t xml:space="preserve">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彩色扫描件）。投标人提供的产品属于信息安全产品的，应当提供由中国信息安全认证中心按国家标准认证颁发的有效认证证书（原件彩色扫描件）</w:t>
      </w:r>
      <w:r/>
    </w:p>
    <w:p>
      <w:pPr>
        <w:pStyle w:val="1086"/>
        <w:ind w:firstLine="420"/>
        <w:jc w:val="both"/>
        <w:spacing w:beforeAutospacing="0" w:afterAutospacing="0"/>
        <w:rPr>
          <w:color w:val="auto"/>
          <w:highlight w:val="none"/>
        </w:rPr>
      </w:pPr>
      <w:r>
        <w:rPr>
          <w:color w:val="auto"/>
          <w:highlight w:val="none"/>
        </w:rPr>
      </w:r>
      <w:r/>
    </w:p>
    <w:p>
      <w:pPr>
        <w:pStyle w:val="1086"/>
        <w:ind w:firstLine="420"/>
        <w:jc w:val="both"/>
        <w:spacing w:beforeAutospacing="0" w:afterAutospacing="0"/>
        <w:rPr>
          <w:color w:val="auto"/>
          <w:highlight w:val="none"/>
        </w:rPr>
      </w:pPr>
      <w:r>
        <w:rPr>
          <w:color w:val="auto"/>
          <w:highlight w:val="none"/>
        </w:rPr>
      </w:r>
      <w:r/>
    </w:p>
    <w:p>
      <w:pPr>
        <w:pStyle w:val="1086"/>
        <w:ind w:firstLine="420"/>
        <w:jc w:val="both"/>
        <w:spacing w:beforeAutospacing="0" w:afterAutospacing="0"/>
        <w:rPr>
          <w:color w:val="auto"/>
          <w:highlight w:val="none"/>
        </w:rPr>
      </w:pPr>
      <w:r>
        <w:rPr>
          <w:color w:val="auto"/>
          <w:highlight w:val="none"/>
        </w:rPr>
      </w:r>
      <w:r/>
    </w:p>
    <w:p>
      <w:pPr>
        <w:pStyle w:val="1086"/>
        <w:ind w:firstLine="420"/>
        <w:jc w:val="both"/>
        <w:spacing w:beforeAutospacing="0" w:afterAutospacing="0"/>
        <w:rPr>
          <w:color w:val="auto"/>
          <w:highlight w:val="none"/>
        </w:rPr>
      </w:pPr>
      <w:r>
        <w:rPr>
          <w:color w:val="auto"/>
          <w:highlight w:val="none"/>
        </w:rPr>
      </w:r>
      <w:r/>
    </w:p>
    <w:p>
      <w:pPr>
        <w:pStyle w:val="1086"/>
        <w:jc w:val="both"/>
        <w:spacing w:beforeAutospacing="0" w:afterAutospacing="0" w:line="0" w:lineRule="atLeast"/>
        <w:rPr>
          <w:color w:val="auto"/>
          <w:highlight w:val="none"/>
        </w:rPr>
      </w:pPr>
      <w:r>
        <w:rPr>
          <w:color w:val="auto"/>
          <w:highlight w:val="none"/>
        </w:rPr>
        <w:t xml:space="preserve"> </w:t>
      </w:r>
      <w:r/>
    </w:p>
    <w:p>
      <w:pPr>
        <w:pStyle w:val="1086"/>
        <w:jc w:val="both"/>
        <w:spacing w:beforeAutospacing="0" w:afterAutospacing="0" w:line="0" w:lineRule="atLeast"/>
        <w:rPr>
          <w:color w:val="auto"/>
          <w:highlight w:val="none"/>
        </w:rPr>
      </w:pPr>
      <w:r>
        <w:rPr>
          <w:color w:val="auto"/>
          <w:highlight w:val="none"/>
        </w:rPr>
      </w:r>
      <w:r/>
    </w:p>
    <w:p>
      <w:pPr>
        <w:pStyle w:val="1086"/>
        <w:jc w:val="both"/>
        <w:spacing w:beforeAutospacing="0" w:afterAutospacing="0" w:line="0" w:lineRule="atLeast"/>
        <w:rPr>
          <w:color w:val="auto"/>
          <w:highlight w:val="none"/>
        </w:rPr>
      </w:pPr>
      <w:r>
        <w:rPr>
          <w:color w:val="auto"/>
          <w:highlight w:val="none"/>
        </w:rPr>
      </w:r>
      <w:r/>
    </w:p>
    <w:p>
      <w:pPr>
        <w:pStyle w:val="1086"/>
        <w:jc w:val="both"/>
        <w:spacing w:beforeAutospacing="0" w:afterAutospacing="0" w:line="0" w:lineRule="atLeast"/>
        <w:rPr>
          <w:color w:val="auto"/>
          <w:highlight w:val="none"/>
        </w:rPr>
      </w:pPr>
      <w:r>
        <w:rPr>
          <w:color w:val="auto"/>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086"/>
        <w:ind w:firstLine="2640"/>
        <w:jc w:val="both"/>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rPr>
          <w:color w:val="auto"/>
          <w:highlight w:val="none"/>
        </w:rPr>
      </w:pPr>
      <w:r/>
      <w:bookmarkStart w:id="151" w:name="_Toc479757211"/>
      <w:r/>
      <w:bookmarkStart w:id="152" w:name="_Toc462564139"/>
      <w:r/>
      <w:bookmarkStart w:id="153" w:name="_Toc16938590"/>
      <w:r/>
      <w:bookmarkStart w:id="154" w:name="_Toc120614244"/>
      <w:r/>
      <w:bookmarkStart w:id="155" w:name="_Toc20823346"/>
      <w:r/>
      <w:bookmarkStart w:id="156" w:name="_Hlt16619369"/>
      <w:r/>
      <w:bookmarkStart w:id="157" w:name="_Hlt16619350"/>
      <w:r/>
      <w:r/>
    </w:p>
    <w:p>
      <w:pPr>
        <w:ind w:left="210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（GF—2017—0201）</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firstLine="420"/>
        <w:jc w:val="both"/>
        <w:widowControl w:val="off"/>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r>
      <w:r/>
    </w:p>
    <w:p>
      <w:pPr>
        <w:ind w:firstLine="420"/>
        <w:jc w:val="both"/>
        <w:widowControl w:val="off"/>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r>
      <w:r/>
    </w:p>
    <w:p>
      <w:pPr>
        <w:ind w:firstLine="420"/>
        <w:jc w:val="both"/>
        <w:widowControl w:val="off"/>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rPr>
        <w:t xml:space="preserve">建设工程施工合同</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right="2719" w:firstLine="2738"/>
        <w:jc w:val="both"/>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eastAsia" w:ascii="宋体" w:hAnsi="宋体" w:eastAsia="宋体" w:cs="宋体"/>
          <w:b/>
          <w:color w:val="auto"/>
          <w:sz w:val="32"/>
          <w:szCs w:val="28"/>
          <w:highlight w:val="none"/>
        </w:rPr>
        <w:t xml:space="preserve">住房城乡建设部</w:t>
      </w:r>
      <w:r/>
    </w:p>
    <w:p>
      <w:pPr>
        <w:ind w:right="2719" w:firstLine="2750"/>
        <w:jc w:val="both"/>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 xml:space="preserve">国家工商行政管理总局</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keepLines w:val="0"/>
        <w:keepNext/>
        <w:pageBreakBefore w:val="0"/>
        <w:spacing w:before="0" w:after="0" w:line="400" w:lineRule="exact"/>
        <w:widowControl w:val="off"/>
        <w:rPr>
          <w:rFonts w:hint="eastAsia" w:ascii="宋体" w:hAnsi="宋体" w:eastAsia="宋体" w:cs="宋体"/>
          <w:color w:val="auto"/>
          <w:sz w:val="28"/>
          <w:szCs w:val="20"/>
          <w:highlight w:val="none"/>
          <w:lang w:val="zh-CN" w:eastAsia="zh-CN" w:bidi="ar-SA"/>
        </w:rPr>
        <w:outlineLvl w:val="9"/>
      </w:pPr>
      <w:r>
        <w:rPr>
          <w:rFonts w:hint="eastAsia" w:ascii="宋体" w:hAnsi="宋体" w:eastAsia="宋体" w:cs="宋体"/>
          <w:b w:val="0"/>
          <w:color w:val="auto"/>
          <w:sz w:val="28"/>
          <w:szCs w:val="20"/>
          <w:highlight w:val="none"/>
          <w:lang w:val="en-US" w:eastAsia="zh-CN" w:bidi="ar-SA"/>
        </w:rPr>
        <w:br w:type="page" w:clear="all"/>
      </w:r>
      <w:r>
        <w:rPr>
          <w:rFonts w:hint="eastAsia" w:ascii="宋体" w:hAnsi="宋体" w:eastAsia="宋体" w:cs="宋体"/>
          <w:color w:val="auto"/>
          <w:sz w:val="32"/>
          <w:szCs w:val="32"/>
          <w:highlight w:val="none"/>
          <w:lang w:val="zh-CN" w:eastAsia="zh-CN" w:bidi="ar-SA"/>
        </w:rPr>
        <w:t xml:space="preserve">说  明</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为了指导建设工程施工合同当事人的签约行为，维护合同当事人的合法权益，依据《中华人民共和国</w:t>
      </w:r>
      <w:r>
        <w:rPr>
          <w:rFonts w:hint="eastAsia" w:ascii="宋体" w:hAnsi="宋体" w:eastAsia="宋体" w:cs="宋体"/>
          <w:color w:val="auto"/>
          <w:szCs w:val="21"/>
          <w:highlight w:val="none"/>
          <w:lang w:eastAsia="zh-CN"/>
        </w:rPr>
        <w:t xml:space="preserve">民法典</w:t>
      </w:r>
      <w:r>
        <w:rPr>
          <w:rFonts w:hint="eastAsia" w:ascii="宋体" w:hAnsi="宋体" w:eastAsia="宋体" w:cs="宋体"/>
          <w:color w:val="auto"/>
          <w:szCs w:val="21"/>
          <w:highlight w:val="none"/>
        </w:rPr>
        <w:t xml:space="preserve">》、《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一、《示范文本》的组成</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《示范文本》由合同协议书、通用合同条款和专用合同条款三部分组成。</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（一）合同协议书</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（二）通用合同条款</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通用合同条款是合同当事人根据《中华人民共和国建筑法》、《中华人民共和国</w:t>
      </w:r>
      <w:r>
        <w:rPr>
          <w:rFonts w:hint="eastAsia" w:ascii="宋体" w:hAnsi="宋体" w:eastAsia="宋体" w:cs="宋体"/>
          <w:color w:val="auto"/>
          <w:szCs w:val="21"/>
          <w:highlight w:val="none"/>
          <w:lang w:eastAsia="zh-CN"/>
        </w:rPr>
        <w:t xml:space="preserve">民法典</w:t>
      </w:r>
      <w:r>
        <w:rPr>
          <w:rFonts w:hint="eastAsia" w:ascii="宋体" w:hAnsi="宋体" w:eastAsia="宋体" w:cs="宋体"/>
          <w:color w:val="auto"/>
          <w:szCs w:val="21"/>
          <w:highlight w:val="none"/>
        </w:rPr>
        <w:t xml:space="preserve">》等法律法规的规定，就工程建设的实施及相关事项，对合同当事人的权利义务作出的原则性约定。</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（三）专用合同条款</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1.专用合同条款的编号应与相应的通用合同条款的编号一致；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2.合同当事人可以通过对专用合同条款的修改，满足具体建设工程的特殊要求，避免直接修改通用合同条款；</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二、《示范文本》的性质和适用范围</w:t>
      </w:r>
      <w:r/>
    </w:p>
    <w:p>
      <w:pPr>
        <w:ind w:firstLine="420"/>
        <w:keepLines w:val="0"/>
        <w:keepNext w:val="0"/>
        <w:pageBreakBefore w:val="0"/>
        <w:spacing w:line="400" w:lineRule="exact"/>
        <w:widowControl w:val="off"/>
        <w:rPr>
          <w:rFonts w:hint="eastAsia" w:ascii="宋体" w:hAnsi="宋体" w:eastAsia="宋体" w:cs="宋体"/>
          <w:color w:val="auto"/>
          <w:spacing w:val="-17"/>
          <w:sz w:val="21"/>
          <w:szCs w:val="21"/>
          <w:highlight w:val="none"/>
        </w:rPr>
        <w:sectPr>
          <w:headerReference w:type="default" r:id="rId11"/>
          <w:footerReference w:type="default" r:id="rId14"/>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color w:val="auto"/>
          <w:spacing w:val="-17"/>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contextualSpacing/>
        <w:ind w:firstLine="3213"/>
        <w:jc w:val="both"/>
        <w:spacing w:before="300" w:after="240"/>
        <w:widowControl w:val="off"/>
        <w:rPr>
          <w:rFonts w:hint="default" w:ascii="宋体" w:hAnsi="宋体" w:eastAsia="宋体" w:cs="Times New Roman"/>
          <w:b/>
          <w:bCs/>
          <w:color w:val="auto"/>
          <w:sz w:val="48"/>
          <w:szCs w:val="48"/>
          <w:highlight w:val="none"/>
          <w:lang w:val="en-US" w:eastAsia="zh-CN" w:bidi="ar-SA"/>
        </w:rPr>
        <w:outlineLvl w:val="1"/>
      </w:pPr>
      <w:r/>
      <w:bookmarkStart w:id="158" w:name="_Toc351203652"/>
      <w:r>
        <w:rPr>
          <w:rFonts w:hint="default" w:ascii="宋体" w:hAnsi="宋体" w:eastAsia="宋体" w:cs="Times New Roman"/>
          <w:b/>
          <w:bCs/>
          <w:color w:val="auto"/>
          <w:sz w:val="32"/>
          <w:szCs w:val="32"/>
          <w:highlight w:val="none"/>
          <w:lang w:val="en-US" w:eastAsia="zh-CN" w:bidi="ar-SA"/>
        </w:rPr>
        <w:t xml:space="preserve">第一部分 合同协议书</w:t>
      </w:r>
      <w:r/>
    </w:p>
    <w:p>
      <w:pPr>
        <w:ind w:firstLine="422"/>
        <w:spacing w:line="400" w:lineRule="exact"/>
        <w:rPr>
          <w:rFonts w:hint="default" w:ascii="宋体" w:hAnsi="宋体" w:eastAsia="宋体" w:cs="Times New Roman"/>
          <w:b/>
          <w:color w:val="auto"/>
          <w:sz w:val="21"/>
          <w:szCs w:val="21"/>
          <w:highlight w:val="none"/>
          <w:u w:val="single"/>
          <w:lang w:val="en-US" w:eastAsia="zh-CN"/>
        </w:rPr>
      </w:pPr>
      <w:r>
        <w:rPr>
          <w:rFonts w:ascii="宋体" w:hAnsi="宋体" w:eastAsia="宋体" w:cs="Times New Roman"/>
          <w:b/>
          <w:color w:val="auto"/>
          <w:sz w:val="21"/>
          <w:szCs w:val="21"/>
          <w:highlight w:val="none"/>
        </w:rPr>
        <w:t xml:space="preserve">发包人（全称）：</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lang w:val="en-US" w:eastAsia="zh-CN"/>
        </w:rPr>
        <w:t xml:space="preserve">              </w:t>
      </w:r>
      <w:r/>
    </w:p>
    <w:p>
      <w:pPr>
        <w:ind w:firstLine="422"/>
        <w:spacing w:line="400" w:lineRule="exact"/>
        <w:rPr>
          <w:rFonts w:hint="default" w:ascii="宋体" w:hAnsi="宋体" w:eastAsia="宋体" w:cs="Times New Roman"/>
          <w:b/>
          <w:color w:val="auto"/>
          <w:sz w:val="21"/>
          <w:szCs w:val="21"/>
          <w:highlight w:val="none"/>
          <w:u w:val="single"/>
          <w:lang w:val="en-US" w:eastAsia="zh-CN"/>
        </w:rPr>
      </w:pPr>
      <w:r>
        <w:rPr>
          <w:rFonts w:ascii="宋体" w:hAnsi="宋体" w:eastAsia="宋体" w:cs="Times New Roman"/>
          <w:b/>
          <w:color w:val="auto"/>
          <w:sz w:val="21"/>
          <w:szCs w:val="21"/>
          <w:highlight w:val="none"/>
        </w:rPr>
        <w:t xml:space="preserve">承包人（全称）：</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lang w:val="en-US" w:eastAsia="zh-CN"/>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根据《中华人民共和国</w:t>
      </w:r>
      <w:r>
        <w:rPr>
          <w:rFonts w:hint="eastAsia" w:ascii="宋体" w:hAnsi="宋体" w:eastAsia="宋体" w:cs="Times New Roman"/>
          <w:color w:val="auto"/>
          <w:sz w:val="21"/>
          <w:szCs w:val="21"/>
          <w:highlight w:val="none"/>
          <w:lang w:eastAsia="zh-CN"/>
        </w:rPr>
        <w:t xml:space="preserve">民法典</w:t>
      </w:r>
      <w:r>
        <w:rPr>
          <w:rFonts w:ascii="宋体" w:hAnsi="宋体" w:eastAsia="宋体" w:cs="Times New Roman"/>
          <w:color w:val="auto"/>
          <w:sz w:val="21"/>
          <w:szCs w:val="21"/>
          <w:highlight w:val="none"/>
        </w:rPr>
        <w:t xml:space="preserve">》、《中华人民共和国建筑法》及有关法律规定，遵循平等、自愿、公平和诚实信用的原则，双方就</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工程施工及有关事项协商一致，共同达成如下协议：</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59" w:name="_Toc351203481"/>
      <w:r>
        <w:rPr>
          <w:rFonts w:hint="default" w:ascii="宋体" w:hAnsi="Arial" w:eastAsia="宋体" w:cs="Arial"/>
          <w:b/>
          <w:color w:val="auto"/>
          <w:sz w:val="21"/>
          <w:szCs w:val="21"/>
          <w:highlight w:val="none"/>
          <w:lang w:val="en-US" w:eastAsia="zh-CN" w:bidi="ar-SA"/>
        </w:rPr>
        <w:t xml:space="preserve">一、工程概况</w:t>
      </w:r>
      <w:bookmarkEnd w:id="159"/>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bCs/>
          <w:color w:val="auto"/>
          <w:sz w:val="21"/>
          <w:szCs w:val="21"/>
          <w:highlight w:val="none"/>
        </w:rPr>
        <w:t xml:space="preserve">1.工程名称</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2.工程地点</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射阳县境内</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3.工程立项批准文号</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4.资金来源</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财政资金</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5.工程内容</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color w:val="auto"/>
          <w:sz w:val="21"/>
          <w:szCs w:val="21"/>
          <w:highlight w:val="none"/>
        </w:rPr>
        <w:t xml:space="preserve">群体工程应附《承包人承揽工程项目一览表》（附件1）。</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bCs/>
          <w:color w:val="auto"/>
          <w:sz w:val="21"/>
          <w:szCs w:val="21"/>
          <w:highlight w:val="none"/>
        </w:rPr>
        <w:t xml:space="preserve">6.工程承包范围：</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图纸及工程量清单内的全部内容</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0" w:name="_Toc351203482"/>
      <w:r>
        <w:rPr>
          <w:rFonts w:hint="default" w:ascii="宋体" w:hAnsi="Arial" w:eastAsia="宋体" w:cs="Arial"/>
          <w:b/>
          <w:color w:val="auto"/>
          <w:sz w:val="21"/>
          <w:szCs w:val="21"/>
          <w:highlight w:val="none"/>
          <w:lang w:val="en-US" w:eastAsia="zh-CN" w:bidi="ar-SA"/>
        </w:rPr>
        <w:t xml:space="preserve">二、合同工期</w:t>
      </w:r>
      <w:bookmarkEnd w:id="160"/>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计划开工日期：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2026</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年</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月</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计划竣工日期：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2026 </w:t>
      </w:r>
      <w:r>
        <w:rPr>
          <w:rFonts w:ascii="宋体" w:hAnsi="宋体" w:eastAsia="宋体" w:cs="Times New Roman"/>
          <w:color w:val="auto"/>
          <w:sz w:val="21"/>
          <w:szCs w:val="21"/>
          <w:highlight w:val="none"/>
        </w:rPr>
        <w:t xml:space="preserve">年</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月</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工期总日历天数：</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日历</w:t>
      </w:r>
      <w:r>
        <w:rPr>
          <w:rFonts w:ascii="宋体" w:hAnsi="宋体" w:eastAsia="宋体" w:cs="Times New Roman"/>
          <w:color w:val="auto"/>
          <w:sz w:val="21"/>
          <w:szCs w:val="21"/>
          <w:highlight w:val="none"/>
        </w:rPr>
        <w:t xml:space="preserve">天。工期总日历天数与根据前述计划开竣工日期计算的工期天数不一致的，以工期总日历天数为准。</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1" w:name="_Toc351203483"/>
      <w:r>
        <w:rPr>
          <w:rFonts w:hint="default" w:ascii="宋体" w:hAnsi="Arial" w:eastAsia="宋体" w:cs="Arial"/>
          <w:b/>
          <w:color w:val="auto"/>
          <w:sz w:val="21"/>
          <w:szCs w:val="21"/>
          <w:highlight w:val="none"/>
          <w:lang w:val="en-US" w:eastAsia="zh-CN" w:bidi="ar-SA"/>
        </w:rPr>
        <w:t xml:space="preserve">三、质量标准</w:t>
      </w:r>
      <w:bookmarkEnd w:id="161"/>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工程质量符合</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合格</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标准。</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2" w:name="_Toc351203484"/>
      <w:r>
        <w:rPr>
          <w:rFonts w:hint="default" w:ascii="宋体" w:hAnsi="Arial" w:eastAsia="宋体" w:cs="Arial"/>
          <w:b/>
          <w:color w:val="auto"/>
          <w:sz w:val="21"/>
          <w:szCs w:val="21"/>
          <w:highlight w:val="none"/>
          <w:lang w:val="en-US" w:eastAsia="zh-CN" w:bidi="ar-SA"/>
        </w:rPr>
        <w:t xml:space="preserve">四、签约合同价与合同价格形式</w:t>
      </w:r>
      <w:bookmarkEnd w:id="162"/>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1.签约合同价为：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分</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 xml:space="preserve">元)；</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其中：</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（1）安全文明施工费：</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 xml:space="preserve">元)；</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（2）材料和工程设备暂估价金额：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元)；</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（3）专业工程暂估价金额：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元)；</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（4）暂列金额：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元)。</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2.合同价格形式：</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3" w:name="_Toc351203485"/>
      <w:r>
        <w:rPr>
          <w:rFonts w:hint="default" w:ascii="宋体" w:hAnsi="Arial" w:eastAsia="宋体" w:cs="Arial"/>
          <w:b/>
          <w:color w:val="auto"/>
          <w:sz w:val="21"/>
          <w:szCs w:val="21"/>
          <w:highlight w:val="none"/>
          <w:lang w:val="en-US" w:eastAsia="zh-CN" w:bidi="ar-SA"/>
        </w:rPr>
        <w:t xml:space="preserve">五、</w:t>
      </w:r>
      <w:bookmarkEnd w:id="163"/>
      <w:r>
        <w:rPr>
          <w:rFonts w:hint="default" w:ascii="宋体" w:hAnsi="Arial" w:eastAsia="宋体" w:cs="Arial"/>
          <w:b/>
          <w:color w:val="auto"/>
          <w:sz w:val="21"/>
          <w:szCs w:val="21"/>
          <w:highlight w:val="none"/>
          <w:lang w:val="en-US" w:eastAsia="zh-CN" w:bidi="ar-SA"/>
        </w:rPr>
        <w:t xml:space="preserve">项目经理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承包人项目经理：</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4" w:name="_Toc351203486"/>
      <w:r>
        <w:rPr>
          <w:rFonts w:hint="default" w:ascii="宋体" w:hAnsi="Arial" w:eastAsia="宋体" w:cs="Arial"/>
          <w:b/>
          <w:color w:val="auto"/>
          <w:sz w:val="21"/>
          <w:szCs w:val="21"/>
          <w:highlight w:val="none"/>
          <w:lang w:val="en-US" w:eastAsia="zh-CN" w:bidi="ar-SA"/>
        </w:rPr>
        <w:t xml:space="preserve">六、合同文件构成</w:t>
      </w:r>
      <w:bookmarkEnd w:id="164"/>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本协议书与下列文件一起构成合同文件：</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（1）中标通知书（如果有）；</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（2）投标函及其附录（如果有）； </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（3）专用合同条款及其附件；</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（4）通用合同条款；</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（5）技术标准和要求；</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（6）图纸；</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（7）已标价工程量清单或预算书；</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（8）其他合同文件。</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在合同订立及履行过程中形成的与合同有关的文件均构成合同文件组成部分。</w:t>
      </w:r>
      <w:r/>
    </w:p>
    <w:p>
      <w:pPr>
        <w:ind w:firstLine="420"/>
        <w:jc w:val="left"/>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5" w:name="_Toc351203487"/>
      <w:r>
        <w:rPr>
          <w:rFonts w:hint="default" w:ascii="宋体" w:hAnsi="Arial" w:eastAsia="宋体" w:cs="Arial"/>
          <w:b/>
          <w:color w:val="auto"/>
          <w:sz w:val="21"/>
          <w:szCs w:val="21"/>
          <w:highlight w:val="none"/>
          <w:lang w:val="en-US" w:eastAsia="zh-CN" w:bidi="ar-SA"/>
        </w:rPr>
        <w:t xml:space="preserve">七、承诺</w:t>
      </w:r>
      <w:bookmarkEnd w:id="165"/>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3.发包人和承包人通过招投标形式签订合同的，双方理解并承诺不再就同一工程另行签订与合同实质性内容相背离的协议。</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6" w:name="_Toc351203488"/>
      <w:r>
        <w:rPr>
          <w:rFonts w:hint="default" w:ascii="宋体" w:hAnsi="Arial" w:eastAsia="宋体" w:cs="Arial"/>
          <w:b/>
          <w:color w:val="auto"/>
          <w:sz w:val="21"/>
          <w:szCs w:val="21"/>
          <w:highlight w:val="none"/>
          <w:lang w:val="en-US" w:eastAsia="zh-CN" w:bidi="ar-SA"/>
        </w:rPr>
        <w:t xml:space="preserve">八、词语含义</w:t>
      </w:r>
      <w:bookmarkEnd w:id="166"/>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本协议书中词语含义与第二部分通用合同条款中赋予的含义相同。</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7" w:name="_Toc351203489"/>
      <w:r>
        <w:rPr>
          <w:rFonts w:hint="default" w:ascii="宋体" w:hAnsi="Arial" w:eastAsia="宋体" w:cs="Arial"/>
          <w:b/>
          <w:color w:val="auto"/>
          <w:sz w:val="21"/>
          <w:szCs w:val="21"/>
          <w:highlight w:val="none"/>
          <w:lang w:val="en-US" w:eastAsia="zh-CN" w:bidi="ar-SA"/>
        </w:rPr>
        <w:t xml:space="preserve">九、签订时间</w:t>
      </w:r>
      <w:bookmarkEnd w:id="167"/>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本合同于</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lang w:val="en-US" w:eastAsia="zh-CN"/>
        </w:rPr>
        <w:t xml:space="preserve">2026</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年</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月</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日签订。</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8" w:name="_Toc351203490"/>
      <w:r>
        <w:rPr>
          <w:rFonts w:hint="default" w:ascii="宋体" w:hAnsi="Arial" w:eastAsia="宋体" w:cs="Arial"/>
          <w:b/>
          <w:color w:val="auto"/>
          <w:sz w:val="21"/>
          <w:szCs w:val="21"/>
          <w:highlight w:val="none"/>
          <w:lang w:val="en-US" w:eastAsia="zh-CN" w:bidi="ar-SA"/>
        </w:rPr>
        <w:t xml:space="preserve">十、签订地点</w:t>
      </w:r>
      <w:bookmarkEnd w:id="168"/>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本合同在</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lang w:val="en-US" w:eastAsia="zh-CN"/>
        </w:rPr>
        <w:t xml:space="preserve">                  </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签订。</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69" w:name="_Toc351203491"/>
      <w:r>
        <w:rPr>
          <w:rFonts w:hint="default" w:ascii="宋体" w:hAnsi="Arial" w:eastAsia="宋体" w:cs="Arial"/>
          <w:b/>
          <w:color w:val="auto"/>
          <w:sz w:val="21"/>
          <w:szCs w:val="21"/>
          <w:highlight w:val="none"/>
          <w:lang w:val="en-US" w:eastAsia="zh-CN" w:bidi="ar-SA"/>
        </w:rPr>
        <w:t xml:space="preserve">十一、补充协议</w:t>
      </w:r>
      <w:bookmarkEnd w:id="169"/>
      <w:r/>
      <w:r/>
    </w:p>
    <w:p>
      <w:pPr>
        <w:ind w:firstLine="422"/>
        <w:spacing w:line="400" w:lineRule="exact"/>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 xml:space="preserve">合同未尽事宜，合同当事人另行签订补充协议，补充协议是合同的组成部分。</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70" w:name="_Toc351203492"/>
      <w:r>
        <w:rPr>
          <w:rFonts w:hint="default" w:ascii="宋体" w:hAnsi="Arial" w:eastAsia="宋体" w:cs="Arial"/>
          <w:b/>
          <w:color w:val="auto"/>
          <w:sz w:val="21"/>
          <w:szCs w:val="21"/>
          <w:highlight w:val="none"/>
          <w:lang w:val="en-US" w:eastAsia="zh-CN" w:bidi="ar-SA"/>
        </w:rPr>
        <w:t xml:space="preserve">十二、合同生效</w:t>
      </w:r>
      <w:bookmarkEnd w:id="170"/>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本合同自</w:t>
      </w:r>
      <w:r>
        <w:rPr>
          <w:rFonts w:ascii="宋体" w:hAnsi="宋体" w:eastAsia="宋体" w:cs="Times New Roman"/>
          <w:bCs/>
          <w:color w:val="auto"/>
          <w:sz w:val="21"/>
          <w:szCs w:val="21"/>
          <w:highlight w:val="none"/>
          <w:u w:val="single"/>
        </w:rPr>
        <w:t xml:space="preserve"> 签字</w:t>
      </w:r>
      <w:r>
        <w:rPr>
          <w:rFonts w:hint="eastAsia" w:ascii="宋体" w:hAnsi="宋体" w:eastAsia="宋体" w:cs="Times New Roman"/>
          <w:bCs/>
          <w:color w:val="auto"/>
          <w:sz w:val="21"/>
          <w:szCs w:val="21"/>
          <w:highlight w:val="none"/>
          <w:u w:val="single"/>
        </w:rPr>
        <w:t xml:space="preserve">、</w:t>
      </w:r>
      <w:r>
        <w:rPr>
          <w:rFonts w:ascii="宋体" w:hAnsi="宋体" w:eastAsia="宋体" w:cs="Times New Roman"/>
          <w:bCs/>
          <w:color w:val="auto"/>
          <w:sz w:val="21"/>
          <w:szCs w:val="21"/>
          <w:highlight w:val="none"/>
          <w:u w:val="single"/>
        </w:rPr>
        <w:t xml:space="preserve">盖章并缴纳履约保证金后 </w:t>
      </w:r>
      <w:r>
        <w:rPr>
          <w:rFonts w:ascii="宋体" w:hAnsi="宋体" w:eastAsia="宋体" w:cs="Times New Roman"/>
          <w:bCs/>
          <w:color w:val="auto"/>
          <w:sz w:val="21"/>
          <w:szCs w:val="21"/>
          <w:highlight w:val="none"/>
        </w:rPr>
        <w:t xml:space="preserve">生效。</w:t>
      </w:r>
      <w:r/>
    </w:p>
    <w:p>
      <w:pPr>
        <w:ind w:firstLine="118"/>
        <w:jc w:val="both"/>
        <w:keepLines w:val="0"/>
        <w:keepNext w:val="0"/>
        <w:spacing w:before="140" w:after="140" w:line="340" w:lineRule="exact"/>
        <w:widowControl w:val="off"/>
        <w:rPr>
          <w:rFonts w:hint="default" w:ascii="宋体" w:hAnsi="Arial" w:eastAsia="宋体" w:cs="Arial"/>
          <w:b/>
          <w:color w:val="auto"/>
          <w:sz w:val="21"/>
          <w:szCs w:val="21"/>
          <w:highlight w:val="none"/>
          <w:lang w:val="en-US" w:eastAsia="zh-CN" w:bidi="ar-SA"/>
        </w:rPr>
        <w:outlineLvl w:val="2"/>
      </w:pPr>
      <w:r/>
      <w:bookmarkStart w:id="171" w:name="_Toc351203493"/>
      <w:r>
        <w:rPr>
          <w:rFonts w:hint="default" w:ascii="宋体" w:hAnsi="Arial" w:eastAsia="宋体" w:cs="Arial"/>
          <w:b/>
          <w:color w:val="auto"/>
          <w:sz w:val="21"/>
          <w:szCs w:val="21"/>
          <w:highlight w:val="none"/>
          <w:lang w:val="en-US" w:eastAsia="zh-CN" w:bidi="ar-SA"/>
        </w:rPr>
        <w:t xml:space="preserve">十三、合同份数</w:t>
      </w:r>
      <w:bookmarkEnd w:id="171"/>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 xml:space="preserve">本合同一式</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 xml:space="preserve">捌</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份，均具有同等法律效力，发包人执</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 xml:space="preserve">叁</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份，承包人执</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 xml:space="preserve">伍</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 xml:space="preserve">份。</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  (公章)                 承包人：  (公章)</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法定代表人或其委托代理人：      法定代表人或其委托代理人：</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（签字）                        （签字）</w:t>
      </w:r>
      <w:r/>
    </w:p>
    <w:p>
      <w:pPr>
        <w:ind w:firstLine="420"/>
        <w:spacing w:line="400" w:lineRule="exact"/>
        <w:tabs>
          <w:tab w:val="left" w:pos="4410" w:leader="none"/>
        </w:tabs>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组织机构代码：</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组织机构代码：</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地  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地  址：</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邮政编码：</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邮政编码：</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法定代表人：</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法定代表人：</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委托代理人：</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委托代理人：</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  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电  话：</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传  真：</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传  真：</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电子信箱：</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开户银行：</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开户银行：</w:t>
      </w:r>
      <w:r>
        <w:rPr>
          <w:rFonts w:ascii="宋体" w:hAnsi="宋体" w:eastAsia="宋体" w:cs="Times New Roman"/>
          <w:color w:val="auto"/>
          <w:sz w:val="21"/>
          <w:szCs w:val="21"/>
          <w:highlight w:val="none"/>
          <w:u w:val="single"/>
        </w:rPr>
        <w:t xml:space="preserve">                   </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账  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账  号：</w:t>
      </w:r>
      <w:r>
        <w:rPr>
          <w:rFonts w:ascii="宋体" w:hAnsi="宋体" w:eastAsia="宋体" w:cs="Times New Roman"/>
          <w:color w:val="auto"/>
          <w:sz w:val="21"/>
          <w:szCs w:val="21"/>
          <w:highlight w:val="none"/>
          <w:u w:val="single"/>
        </w:rPr>
        <w:t xml:space="preserve">                     </w:t>
      </w:r>
      <w:r/>
    </w:p>
    <w:p>
      <w:pPr>
        <w:ind w:firstLine="480"/>
        <w:spacing w:line="400" w:lineRule="exact"/>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firstLine="480"/>
        <w:spacing w:line="400" w:lineRule="exact"/>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firstLine="216"/>
        <w:rPr>
          <w:rFonts w:ascii="宋体" w:hAnsi="宋体" w:eastAsia="宋体" w:cs="宋体"/>
          <w:color w:val="auto"/>
          <w:szCs w:val="21"/>
          <w:highlight w:val="none"/>
        </w:rPr>
      </w:pPr>
      <w:r>
        <w:rPr>
          <w:rFonts w:ascii="宋体" w:hAnsi="宋体" w:eastAsia="宋体" w:cs="宋体"/>
          <w:color w:val="auto"/>
          <w:szCs w:val="21"/>
          <w:highlight w:val="none"/>
        </w:rPr>
      </w:r>
      <w:r/>
    </w:p>
    <w:p>
      <w:pPr>
        <w:ind w:firstLine="216"/>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ind w:firstLine="21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16"/>
        <w:rPr>
          <w:rFonts w:ascii="宋体" w:hAnsi="宋体" w:eastAsia="宋体" w:cs="宋体"/>
          <w:color w:val="auto"/>
          <w:szCs w:val="21"/>
          <w:highlight w:val="none"/>
        </w:rPr>
      </w:pPr>
      <w:r>
        <w:rPr>
          <w:rFonts w:ascii="宋体" w:hAnsi="宋体" w:eastAsia="宋体" w:cs="宋体"/>
          <w:color w:val="auto"/>
          <w:szCs w:val="21"/>
          <w:highlight w:val="none"/>
        </w:rPr>
      </w:r>
      <w:r/>
    </w:p>
    <w:p>
      <w:pPr>
        <w:ind w:firstLine="21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pStyle w:val="1089"/>
        <w:rPr>
          <w:rFonts w:hint="default"/>
          <w:color w:val="auto"/>
          <w:highlight w:val="none"/>
          <w:lang w:val="en-US" w:eastAsia="zh-CN"/>
        </w:rPr>
      </w:pPr>
      <w:r>
        <w:rPr>
          <w:rFonts w:hint="default"/>
          <w:color w:val="auto"/>
          <w:highlight w:val="none"/>
          <w:lang w:val="en-US" w:eastAsia="zh-CN"/>
        </w:rPr>
      </w:r>
      <w:r/>
    </w:p>
    <w:p>
      <w:pPr>
        <w:contextualSpacing/>
        <w:jc w:val="center"/>
        <w:spacing w:before="300" w:after="200"/>
        <w:widowControl w:val="off"/>
        <w:rPr>
          <w:rFonts w:hint="default" w:ascii="宋体" w:hAnsi="宋体" w:eastAsia="宋体" w:cs="Times New Roman"/>
          <w:b/>
          <w:bCs/>
          <w:color w:val="auto"/>
          <w:sz w:val="32"/>
          <w:szCs w:val="32"/>
          <w:highlight w:val="none"/>
          <w:lang w:val="en-US" w:eastAsia="zh-CN" w:bidi="ar-SA"/>
        </w:rPr>
        <w:outlineLvl w:val="1"/>
      </w:pPr>
      <w:r>
        <w:rPr>
          <w:rFonts w:hint="default" w:ascii="宋体" w:hAnsi="宋体" w:eastAsia="宋体" w:cs="Times New Roman"/>
          <w:b/>
          <w:bCs/>
          <w:color w:val="auto"/>
          <w:sz w:val="32"/>
          <w:szCs w:val="32"/>
          <w:highlight w:val="none"/>
          <w:lang w:val="en-US" w:eastAsia="zh-CN" w:bidi="ar-SA"/>
        </w:rPr>
        <w:t xml:space="preserve">第二部分 通用合同条款</w:t>
      </w:r>
      <w:r/>
    </w:p>
    <w:p>
      <w:pPr>
        <w:ind w:firstLine="216"/>
        <w:spacing w:line="460" w:lineRule="exact"/>
        <w:rPr>
          <w:rFonts w:ascii="宋体" w:hAnsi="宋体" w:eastAsia="宋体" w:cs="Times New Roman"/>
          <w:color w:val="auto"/>
          <w:szCs w:val="21"/>
          <w:highlight w:val="none"/>
          <w:lang w:val="zh-CN"/>
        </w:rPr>
      </w:pPr>
      <w:r>
        <w:rPr>
          <w:rFonts w:ascii="宋体" w:hAnsi="宋体" w:eastAsia="宋体" w:cs="Times New Roman"/>
          <w:color w:val="auto"/>
          <w:szCs w:val="21"/>
          <w:highlight w:val="none"/>
          <w:lang w:val="zh-CN"/>
        </w:rPr>
      </w:r>
      <w:r/>
    </w:p>
    <w:p>
      <w:pPr>
        <w:ind w:firstLine="630"/>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同建设工程施工合同（示范文本）（GF—2017—0201）内的通用合同条款</w:t>
      </w:r>
      <w:r/>
    </w:p>
    <w:p>
      <w:pPr>
        <w:ind w:firstLine="216"/>
        <w:spacing w:line="460" w:lineRule="exact"/>
        <w:rPr>
          <w:rFonts w:ascii="宋体" w:hAnsi="宋体" w:eastAsia="宋体" w:cs="Times New Roman"/>
          <w:color w:val="auto"/>
          <w:szCs w:val="21"/>
          <w:highlight w:val="none"/>
          <w:lang w:val="zh-CN"/>
        </w:rPr>
      </w:pPr>
      <w:r>
        <w:rPr>
          <w:rFonts w:ascii="宋体" w:hAnsi="宋体" w:eastAsia="宋体" w:cs="Times New Roman"/>
          <w:color w:val="auto"/>
          <w:szCs w:val="21"/>
          <w:highlight w:val="none"/>
          <w:lang w:val="zh-CN"/>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contextualSpacing/>
        <w:jc w:val="both"/>
        <w:spacing w:before="300" w:after="200"/>
        <w:widowControl w:val="off"/>
        <w:rPr>
          <w:rFonts w:hint="default" w:ascii="宋体" w:hAnsi="宋体" w:eastAsia="宋体" w:cs="Times New Roman"/>
          <w:color w:val="auto"/>
          <w:sz w:val="48"/>
          <w:szCs w:val="48"/>
          <w:highlight w:val="none"/>
          <w:lang w:val="en-US" w:eastAsia="zh-CN" w:bidi="ar-SA"/>
        </w:rPr>
        <w:outlineLvl w:val="1"/>
      </w:pPr>
      <w:r>
        <w:rPr>
          <w:rFonts w:hint="default" w:ascii="宋体" w:hAnsi="宋体" w:eastAsia="宋体" w:cs="Times New Roman"/>
          <w:color w:val="auto"/>
          <w:sz w:val="48"/>
          <w:szCs w:val="48"/>
          <w:highlight w:val="none"/>
          <w:lang w:val="en-US" w:eastAsia="zh-CN" w:bidi="ar-SA"/>
        </w:rPr>
      </w:r>
      <w:r/>
    </w:p>
    <w:p>
      <w:pPr>
        <w:pStyle w:val="1089"/>
        <w:rPr>
          <w:rFonts w:hint="default"/>
          <w:color w:val="auto"/>
          <w:highlight w:val="none"/>
          <w:lang w:val="en-US" w:eastAsia="zh-CN"/>
        </w:rPr>
      </w:pPr>
      <w:r>
        <w:rPr>
          <w:rFonts w:hint="default"/>
          <w:color w:val="auto"/>
          <w:highlight w:val="none"/>
          <w:lang w:val="en-US" w:eastAsia="zh-CN"/>
        </w:rPr>
      </w:r>
      <w:r/>
    </w:p>
    <w:p>
      <w:pPr>
        <w:pStyle w:val="1089"/>
        <w:rPr>
          <w:rFonts w:hint="default"/>
          <w:color w:val="auto"/>
          <w:highlight w:val="none"/>
          <w:lang w:val="en-US" w:eastAsia="zh-CN"/>
        </w:rPr>
      </w:pPr>
      <w:r>
        <w:rPr>
          <w:rFonts w:hint="default"/>
          <w:color w:val="auto"/>
          <w:highlight w:val="none"/>
          <w:lang w:val="en-US" w:eastAsia="zh-CN"/>
        </w:rPr>
      </w:r>
      <w:r/>
    </w:p>
    <w:p>
      <w:pPr>
        <w:contextualSpacing/>
        <w:jc w:val="center"/>
        <w:spacing w:before="300" w:after="200"/>
        <w:widowControl w:val="off"/>
        <w:rPr>
          <w:rFonts w:hint="default" w:ascii="宋体" w:hAnsi="宋体" w:eastAsia="宋体" w:cs="Times New Roman"/>
          <w:b/>
          <w:bCs/>
          <w:color w:val="auto"/>
          <w:sz w:val="48"/>
          <w:szCs w:val="48"/>
          <w:highlight w:val="none"/>
          <w:lang w:val="en-US" w:eastAsia="zh-CN" w:bidi="ar-SA"/>
        </w:rPr>
        <w:outlineLvl w:val="1"/>
      </w:pPr>
      <w:r>
        <w:rPr>
          <w:rFonts w:hint="default" w:ascii="宋体" w:hAnsi="宋体" w:eastAsia="宋体" w:cs="Times New Roman"/>
          <w:b/>
          <w:bCs/>
          <w:color w:val="auto"/>
          <w:sz w:val="32"/>
          <w:szCs w:val="32"/>
          <w:highlight w:val="none"/>
          <w:lang w:val="en-US" w:eastAsia="zh-CN" w:bidi="ar-SA"/>
        </w:rPr>
        <w:t xml:space="preserve">第三部分 专用合同条款</w:t>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 一般约定</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1.1 词语定义</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1.1.1合同</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1.1.1.10 其他合同文件包括：</w:t>
      </w:r>
      <w:r>
        <w:rPr>
          <w:rFonts w:ascii="宋体" w:hAnsi="宋体" w:eastAsia="宋体" w:cs="Times New Roman"/>
          <w:color w:val="auto"/>
          <w:sz w:val="21"/>
          <w:szCs w:val="21"/>
          <w:highlight w:val="none"/>
          <w:u w:val="single"/>
        </w:rPr>
        <w:t xml:space="preserve">（1）本合同协议书；（2）中标通知书；（3）本合同专用条款；（4）招标文件、投标书（含工程报价单）及其附件；（5）本合同通用条款；（6）标准、规范及有关技术文件；（7）图纸；（8）工程量清单；（9）</w:t>
      </w:r>
      <w:r>
        <w:rPr>
          <w:rFonts w:hint="eastAsia" w:ascii="宋体" w:hAnsi="宋体" w:eastAsia="宋体" w:cs="Times New Roman"/>
          <w:color w:val="auto"/>
          <w:sz w:val="21"/>
          <w:szCs w:val="21"/>
          <w:highlight w:val="none"/>
          <w:u w:val="single"/>
          <w:lang w:eastAsia="zh-CN"/>
        </w:rPr>
        <w:t xml:space="preserve">最高投标限价</w:t>
      </w:r>
      <w:r>
        <w:rPr>
          <w:rFonts w:ascii="宋体" w:hAnsi="宋体" w:eastAsia="宋体" w:cs="Times New Roman"/>
          <w:color w:val="auto"/>
          <w:sz w:val="21"/>
          <w:szCs w:val="21"/>
          <w:highlight w:val="none"/>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1.1.2 合同当事人及其他相关方</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1.1.2.4 监理人：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名    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资质类别和等级：</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1.1.2.5 设计人：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名    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资质类别和等级：</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1.1.3 工程和设备</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1.1.3.7 作为施工现场组成部分的其他场所包括：</w:t>
      </w:r>
      <w:r>
        <w:rPr>
          <w:rFonts w:hint="eastAsia" w:ascii="宋体" w:hAnsi="宋体" w:eastAsia="宋体" w:cs="Times New Roman"/>
          <w:color w:val="auto"/>
          <w:sz w:val="21"/>
          <w:szCs w:val="21"/>
          <w:highlight w:val="none"/>
          <w:u w:val="single"/>
        </w:rPr>
        <w:t xml:space="preserve">发包人项目部、监理、设计、审计、检测等服务单位办公场所</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1.1.3.9 永久占地包括：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1.1.3.10 临时占地包括：</w:t>
      </w:r>
      <w:r>
        <w:rPr>
          <w:rFonts w:ascii="宋体" w:hAnsi="宋体" w:eastAsia="宋体" w:cs="Times New Roman"/>
          <w:color w:val="auto"/>
          <w:sz w:val="21"/>
          <w:szCs w:val="21"/>
          <w:highlight w:val="none"/>
          <w:u w:val="single"/>
        </w:rPr>
        <w:t xml:space="preserve">如在规划红线外租用临时用地，费用由承包人承担</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1.3 法律 </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适用于合同的其他规范性文件：</w:t>
      </w:r>
      <w:r>
        <w:rPr>
          <w:rFonts w:hint="eastAsia" w:ascii="宋体" w:hAnsi="宋体" w:eastAsia="宋体" w:cs="Times New Roman"/>
          <w:color w:val="auto"/>
          <w:sz w:val="21"/>
          <w:szCs w:val="21"/>
          <w:highlight w:val="none"/>
          <w:u w:val="single"/>
        </w:rPr>
        <w:t xml:space="preserve">①《中华人民共和国</w:t>
      </w:r>
      <w:r>
        <w:rPr>
          <w:rFonts w:hint="eastAsia" w:ascii="宋体" w:hAnsi="宋体" w:eastAsia="宋体" w:cs="Times New Roman"/>
          <w:color w:val="auto"/>
          <w:sz w:val="21"/>
          <w:szCs w:val="21"/>
          <w:highlight w:val="none"/>
          <w:u w:val="single"/>
          <w:lang w:eastAsia="zh-CN"/>
        </w:rPr>
        <w:t xml:space="preserve">民法典</w:t>
      </w:r>
      <w:r>
        <w:rPr>
          <w:rFonts w:hint="eastAsia" w:ascii="宋体" w:hAnsi="宋体" w:eastAsia="宋体" w:cs="Times New Roman"/>
          <w:color w:val="auto"/>
          <w:sz w:val="21"/>
          <w:szCs w:val="21"/>
          <w:highlight w:val="none"/>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rPr>
          <w:rFonts w:ascii="宋体" w:hAnsi="宋体" w:eastAsia="宋体" w:cs="Times New Roman"/>
          <w:color w:val="auto"/>
          <w:sz w:val="21"/>
          <w:szCs w:val="21"/>
          <w:highlight w:val="none"/>
          <w:u w:val="singl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1.4 标准和规范</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1.4.1 适用于工程的标准规范包括：</w:t>
      </w:r>
      <w:r>
        <w:rPr>
          <w:rFonts w:hint="eastAsia" w:ascii="宋体" w:hAnsi="宋体" w:eastAsia="宋体" w:cs="Times New Roman"/>
          <w:color w:val="auto"/>
          <w:sz w:val="21"/>
          <w:szCs w:val="21"/>
          <w:highlight w:val="none"/>
          <w:u w:val="single"/>
        </w:rPr>
        <w:t xml:space="preserve">中华人民共和国建设部颁发的现行有关标准、规范及省市有关规定、江苏省及盐城市的相关管理办法、设计图纸中规定采用的相关施工验收规范及相关配套规范检测、评定、验收资料</w:t>
      </w:r>
      <w:r>
        <w:rPr>
          <w:rFonts w:ascii="宋体" w:hAnsi="宋体" w:eastAsia="宋体" w:cs="Times New Roman"/>
          <w:color w:val="auto"/>
          <w:sz w:val="21"/>
          <w:szCs w:val="21"/>
          <w:highlight w:val="none"/>
          <w:u w:val="singl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1.4.2 发包人提供国外标准、规范的名称：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发包人提供国外标准、规范的份数：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发包人提供国外标准、规范的名称：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1.4.3 发包人对工程的技术标准和功能要求的特殊要求：</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1.5 合同文件的优先顺序</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①</w:t>
      </w:r>
      <w:r>
        <w:rPr>
          <w:rFonts w:ascii="宋体" w:hAnsi="宋体" w:eastAsia="宋体" w:cs="Times New Roman"/>
          <w:color w:val="auto"/>
          <w:sz w:val="21"/>
          <w:szCs w:val="21"/>
          <w:highlight w:val="none"/>
          <w:u w:val="single"/>
        </w:rPr>
        <w:t xml:space="preserve">本合同协议书；</w:t>
      </w:r>
      <w:r>
        <w:rPr>
          <w:rFonts w:hint="eastAsia" w:ascii="宋体" w:hAnsi="宋体" w:eastAsia="宋体" w:cs="宋体"/>
          <w:color w:val="auto"/>
          <w:sz w:val="21"/>
          <w:szCs w:val="21"/>
          <w:highlight w:val="none"/>
          <w:u w:val="single"/>
        </w:rPr>
        <w:t xml:space="preserve">②</w:t>
      </w:r>
      <w:r>
        <w:rPr>
          <w:rFonts w:ascii="宋体" w:hAnsi="宋体" w:eastAsia="宋体" w:cs="Times New Roman"/>
          <w:color w:val="auto"/>
          <w:sz w:val="21"/>
          <w:szCs w:val="21"/>
          <w:highlight w:val="none"/>
          <w:u w:val="single"/>
        </w:rPr>
        <w:t xml:space="preserve">中标通知书；</w:t>
      </w:r>
      <w:r>
        <w:rPr>
          <w:rFonts w:hint="eastAsia" w:ascii="宋体" w:hAnsi="宋体" w:eastAsia="宋体" w:cs="宋体"/>
          <w:color w:val="auto"/>
          <w:sz w:val="21"/>
          <w:szCs w:val="21"/>
          <w:highlight w:val="none"/>
          <w:u w:val="single"/>
        </w:rPr>
        <w:t xml:space="preserve">③</w:t>
      </w:r>
      <w:r>
        <w:rPr>
          <w:rFonts w:ascii="宋体" w:hAnsi="宋体" w:eastAsia="宋体" w:cs="Times New Roman"/>
          <w:color w:val="auto"/>
          <w:sz w:val="21"/>
          <w:szCs w:val="21"/>
          <w:highlight w:val="none"/>
          <w:u w:val="single"/>
        </w:rPr>
        <w:t xml:space="preserve">招标文件、投标书及其附录(含投标承诺书)；</w:t>
      </w:r>
      <w:r>
        <w:rPr>
          <w:rFonts w:hint="eastAsia" w:ascii="宋体" w:hAnsi="宋体" w:eastAsia="宋体" w:cs="宋体"/>
          <w:color w:val="auto"/>
          <w:sz w:val="21"/>
          <w:szCs w:val="21"/>
          <w:highlight w:val="none"/>
          <w:u w:val="single"/>
        </w:rPr>
        <w:t xml:space="preserve">④</w:t>
      </w:r>
      <w:r>
        <w:rPr>
          <w:rFonts w:ascii="宋体" w:hAnsi="宋体" w:eastAsia="宋体" w:cs="Times New Roman"/>
          <w:color w:val="auto"/>
          <w:sz w:val="21"/>
          <w:szCs w:val="21"/>
          <w:highlight w:val="none"/>
          <w:u w:val="single"/>
        </w:rPr>
        <w:t xml:space="preserve">本合同专用合同条款及其附件；</w:t>
      </w:r>
      <w:r>
        <w:rPr>
          <w:rFonts w:hint="eastAsia" w:ascii="宋体" w:hAnsi="宋体" w:eastAsia="宋体" w:cs="宋体"/>
          <w:color w:val="auto"/>
          <w:sz w:val="21"/>
          <w:szCs w:val="21"/>
          <w:highlight w:val="none"/>
          <w:u w:val="single"/>
        </w:rPr>
        <w:t xml:space="preserve">⑤</w:t>
      </w:r>
      <w:r>
        <w:rPr>
          <w:rFonts w:ascii="宋体" w:hAnsi="宋体" w:eastAsia="宋体" w:cs="Times New Roman"/>
          <w:color w:val="auto"/>
          <w:sz w:val="21"/>
          <w:szCs w:val="21"/>
          <w:highlight w:val="none"/>
          <w:u w:val="single"/>
        </w:rPr>
        <w:t xml:space="preserve">本合同通用合同条款；</w:t>
      </w:r>
      <w:r>
        <w:rPr>
          <w:rFonts w:hint="eastAsia" w:ascii="宋体" w:hAnsi="宋体" w:eastAsia="宋体" w:cs="宋体"/>
          <w:color w:val="auto"/>
          <w:sz w:val="21"/>
          <w:szCs w:val="21"/>
          <w:highlight w:val="none"/>
          <w:u w:val="single"/>
        </w:rPr>
        <w:t xml:space="preserve">⑥</w:t>
      </w:r>
      <w:r>
        <w:rPr>
          <w:rFonts w:ascii="宋体" w:hAnsi="宋体" w:eastAsia="宋体" w:cs="Times New Roman"/>
          <w:color w:val="auto"/>
          <w:sz w:val="21"/>
          <w:szCs w:val="21"/>
          <w:highlight w:val="none"/>
          <w:u w:val="single"/>
        </w:rPr>
        <w:t xml:space="preserve">技术标准、规范及有关技术文件等要求；</w:t>
      </w:r>
      <w:r>
        <w:rPr>
          <w:rFonts w:hint="eastAsia" w:ascii="宋体" w:hAnsi="宋体" w:eastAsia="宋体" w:cs="宋体"/>
          <w:color w:val="auto"/>
          <w:sz w:val="21"/>
          <w:szCs w:val="21"/>
          <w:highlight w:val="none"/>
          <w:u w:val="single"/>
        </w:rPr>
        <w:t xml:space="preserve">⑦</w:t>
      </w:r>
      <w:r>
        <w:rPr>
          <w:rFonts w:ascii="宋体" w:hAnsi="宋体" w:eastAsia="宋体" w:cs="Times New Roman"/>
          <w:color w:val="auto"/>
          <w:sz w:val="21"/>
          <w:szCs w:val="21"/>
          <w:highlight w:val="none"/>
          <w:u w:val="single"/>
        </w:rPr>
        <w:t xml:space="preserve">图纸；</w:t>
      </w:r>
      <w:r>
        <w:rPr>
          <w:rFonts w:hint="eastAsia" w:ascii="宋体" w:hAnsi="宋体" w:eastAsia="宋体" w:cs="宋体"/>
          <w:color w:val="auto"/>
          <w:sz w:val="21"/>
          <w:szCs w:val="21"/>
          <w:highlight w:val="none"/>
          <w:u w:val="single"/>
        </w:rPr>
        <w:t xml:space="preserve">⑧</w:t>
      </w:r>
      <w:r>
        <w:rPr>
          <w:rFonts w:ascii="宋体" w:hAnsi="宋体" w:eastAsia="宋体" w:cs="Times New Roman"/>
          <w:color w:val="auto"/>
          <w:sz w:val="21"/>
          <w:szCs w:val="21"/>
          <w:highlight w:val="none"/>
          <w:u w:val="single"/>
        </w:rPr>
        <w:t xml:space="preserve">已标价的工程量清单或预算书；</w:t>
      </w:r>
      <w:r>
        <w:rPr>
          <w:rFonts w:hint="eastAsia" w:ascii="宋体" w:hAnsi="宋体" w:eastAsia="宋体" w:cs="宋体"/>
          <w:color w:val="auto"/>
          <w:sz w:val="21"/>
          <w:szCs w:val="21"/>
          <w:highlight w:val="none"/>
          <w:u w:val="single"/>
        </w:rPr>
        <w:t xml:space="preserve">⑨</w:t>
      </w:r>
      <w:r>
        <w:rPr>
          <w:rFonts w:ascii="宋体" w:hAnsi="宋体" w:eastAsia="宋体" w:cs="Times New Roman"/>
          <w:color w:val="auto"/>
          <w:sz w:val="21"/>
          <w:szCs w:val="21"/>
          <w:highlight w:val="none"/>
          <w:u w:val="single"/>
        </w:rPr>
        <w:t xml:space="preserve">发包人委托编制的预算书；</w:t>
      </w:r>
      <w:r>
        <w:rPr>
          <w:rFonts w:hint="eastAsia" w:ascii="宋体" w:hAnsi="宋体" w:eastAsia="宋体" w:cs="宋体"/>
          <w:color w:val="auto"/>
          <w:sz w:val="21"/>
          <w:szCs w:val="21"/>
          <w:highlight w:val="none"/>
          <w:u w:val="single"/>
        </w:rPr>
        <w:t xml:space="preserve">⑩</w:t>
      </w:r>
      <w:r>
        <w:rPr>
          <w:rFonts w:ascii="宋体" w:hAnsi="宋体" w:eastAsia="宋体" w:cs="Times New Roman"/>
          <w:color w:val="auto"/>
          <w:sz w:val="21"/>
          <w:szCs w:val="21"/>
          <w:highlight w:val="none"/>
          <w:u w:val="single"/>
        </w:rPr>
        <w:t xml:space="preserve">双方有关工程的洽商、变更等书面协议或文件等。</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1.6 图纸和承包人文件</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1.6.1 图纸的提供</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发包人向承包人提供图纸的期限：</w:t>
      </w:r>
      <w:r>
        <w:rPr>
          <w:rFonts w:ascii="宋体" w:hAnsi="宋体" w:eastAsia="宋体" w:cs="Times New Roman"/>
          <w:color w:val="auto"/>
          <w:sz w:val="21"/>
          <w:szCs w:val="21"/>
          <w:highlight w:val="none"/>
          <w:u w:val="single"/>
        </w:rPr>
        <w:t xml:space="preserve">签订施工合同后5天内</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发包人向承包人提供图纸的数量：</w:t>
      </w:r>
      <w:r>
        <w:rPr>
          <w:rFonts w:ascii="宋体" w:hAnsi="宋体" w:eastAsia="宋体" w:cs="Times New Roman"/>
          <w:color w:val="auto"/>
          <w:sz w:val="21"/>
          <w:szCs w:val="21"/>
          <w:highlight w:val="none"/>
          <w:u w:val="single"/>
        </w:rPr>
        <w:t xml:space="preserve">发包人向承包人提供两套完整的施工图纸，未经发包人同意不得复制。不得向承包人以外的人员泄露图纸的有关内容</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发包人向承包人提供图纸的内容：</w:t>
      </w:r>
      <w:r>
        <w:rPr>
          <w:rFonts w:ascii="宋体" w:hAnsi="宋体" w:eastAsia="宋体" w:cs="Times New Roman"/>
          <w:color w:val="auto"/>
          <w:sz w:val="21"/>
          <w:szCs w:val="21"/>
          <w:highlight w:val="none"/>
          <w:u w:val="single"/>
        </w:rPr>
        <w:t xml:space="preserve">全套经审查的施工图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1.6.4 承包人文件</w:t>
      </w:r>
      <w:r/>
    </w:p>
    <w:p>
      <w:pPr>
        <w:ind w:firstLine="420"/>
        <w:spacing w:line="400" w:lineRule="exac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需要由承包人提供的文件，包括：</w:t>
      </w:r>
      <w:r>
        <w:rPr>
          <w:rFonts w:ascii="宋体" w:hAnsi="宋体" w:eastAsia="宋体" w:cs="Times New Roman"/>
          <w:color w:val="auto"/>
          <w:sz w:val="21"/>
          <w:szCs w:val="21"/>
          <w:highlight w:val="none"/>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承包人提供的文件的期限为：</w:t>
      </w:r>
      <w:r>
        <w:rPr>
          <w:rFonts w:ascii="宋体" w:hAnsi="宋体" w:eastAsia="宋体" w:cs="Times New Roman"/>
          <w:color w:val="auto"/>
          <w:sz w:val="21"/>
          <w:szCs w:val="21"/>
          <w:highlight w:val="none"/>
          <w:u w:val="single"/>
        </w:rPr>
        <w:t xml:space="preserve">进场前3天</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承包人提供的文件的数量为：</w:t>
      </w:r>
      <w:r>
        <w:rPr>
          <w:rFonts w:ascii="宋体" w:hAnsi="宋体" w:eastAsia="宋体" w:cs="Times New Roman"/>
          <w:color w:val="auto"/>
          <w:sz w:val="21"/>
          <w:szCs w:val="21"/>
          <w:highlight w:val="none"/>
          <w:u w:val="single"/>
        </w:rPr>
        <w:t xml:space="preserve">根据发包人要求</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承包人提供的文件的形式为：</w:t>
      </w:r>
      <w:r>
        <w:rPr>
          <w:rFonts w:ascii="宋体" w:hAnsi="宋体" w:eastAsia="宋体" w:cs="Times New Roman"/>
          <w:color w:val="auto"/>
          <w:sz w:val="21"/>
          <w:szCs w:val="21"/>
          <w:highlight w:val="none"/>
          <w:u w:val="single"/>
        </w:rPr>
        <w:t xml:space="preserve">书面及电子版</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发包人审批承包人文件的期限：</w:t>
      </w:r>
      <w:r>
        <w:rPr>
          <w:rFonts w:ascii="宋体" w:hAnsi="宋体" w:eastAsia="宋体" w:cs="Times New Roman"/>
          <w:color w:val="auto"/>
          <w:sz w:val="21"/>
          <w:szCs w:val="21"/>
          <w:highlight w:val="none"/>
          <w:u w:val="single"/>
        </w:rPr>
        <w:t xml:space="preserve"> 7 </w:t>
      </w:r>
      <w:r>
        <w:rPr>
          <w:rFonts w:ascii="宋体" w:hAnsi="宋体" w:eastAsia="宋体" w:cs="Times New Roman"/>
          <w:color w:val="auto"/>
          <w:sz w:val="21"/>
          <w:szCs w:val="21"/>
          <w:highlight w:val="none"/>
        </w:rPr>
        <w:t xml:space="preserve">天。</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1.6.5 现场图纸准备</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关于现场图纸准备的约定：</w:t>
      </w:r>
      <w:r>
        <w:rPr>
          <w:rFonts w:hint="eastAsia" w:ascii="宋体" w:hAnsi="宋体" w:eastAsia="宋体" w:cs="Times New Roman"/>
          <w:color w:val="auto"/>
          <w:sz w:val="21"/>
          <w:szCs w:val="21"/>
          <w:highlight w:val="none"/>
          <w:u w:val="single"/>
        </w:rPr>
        <w:t xml:space="preserve">所有施工必须以发包人提供的图纸为准，发包人须向承包人提供经审查的有效图纸</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1.7 联络</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1.7.1 发包人和承包人应当在</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1.7.2 发包人接收文件的地点：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发包人指定的接收人为：</w:t>
      </w:r>
      <w:r>
        <w:rPr>
          <w:rFonts w:ascii="宋体" w:hAnsi="宋体" w:eastAsia="宋体" w:cs="Times New Roman"/>
          <w:color w:val="auto"/>
          <w:sz w:val="21"/>
          <w:szCs w:val="21"/>
          <w:highlight w:val="none"/>
          <w:u w:val="single"/>
        </w:rPr>
        <w:t xml:space="preserve">      现场代表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承包人指定的接收人为：</w:t>
      </w:r>
      <w:r>
        <w:rPr>
          <w:rFonts w:ascii="宋体" w:hAnsi="宋体" w:eastAsia="宋体" w:cs="Times New Roman"/>
          <w:color w:val="auto"/>
          <w:sz w:val="21"/>
          <w:szCs w:val="21"/>
          <w:highlight w:val="none"/>
          <w:u w:val="single"/>
        </w:rPr>
        <w:t xml:space="preserve">     项目负责人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监理人接收文件的地点：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监理人指定的接收人为：</w:t>
      </w:r>
      <w:r>
        <w:rPr>
          <w:rFonts w:ascii="宋体" w:hAnsi="宋体" w:eastAsia="宋体" w:cs="Times New Roman"/>
          <w:color w:val="auto"/>
          <w:sz w:val="21"/>
          <w:szCs w:val="21"/>
          <w:highlight w:val="none"/>
          <w:u w:val="single"/>
        </w:rPr>
        <w:t xml:space="preserve">    总监理工程师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1.10 交通运输</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1.10.1 出入现场的权利</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关于出入现场的权利的约定：</w:t>
      </w:r>
      <w:r>
        <w:rPr>
          <w:rFonts w:hint="eastAsia" w:ascii="宋体" w:hAnsi="宋体" w:eastAsia="宋体" w:cs="Times New Roman"/>
          <w:color w:val="auto"/>
          <w:sz w:val="21"/>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1.10.3 场内交通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关于场外交通和场内交通的边界的约定：</w:t>
      </w:r>
      <w:r>
        <w:rPr>
          <w:rFonts w:hint="eastAsia" w:ascii="宋体" w:hAnsi="宋体" w:eastAsia="宋体" w:cs="Times New Roman"/>
          <w:color w:val="auto"/>
          <w:sz w:val="21"/>
          <w:szCs w:val="21"/>
          <w:highlight w:val="none"/>
          <w:u w:val="single"/>
        </w:rPr>
        <w:t xml:space="preserve">按通用条款及施工现场情况划定</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关于发包人向承包人免费提供满足工程施工需要的场内道路和交通设施的约定：</w:t>
      </w:r>
      <w:r>
        <w:rPr>
          <w:rFonts w:hint="eastAsia" w:ascii="宋体" w:hAnsi="宋体" w:eastAsia="宋体" w:cs="Times New Roman"/>
          <w:color w:val="auto"/>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1.10.4 超大件和超重件的运输</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运输超大件或超重件所需的道路和桥梁临时加固改造费用和其他有关费用由</w:t>
      </w:r>
      <w:r>
        <w:rPr>
          <w:rFonts w:ascii="宋体" w:hAnsi="宋体" w:eastAsia="宋体" w:cs="Times New Roman"/>
          <w:color w:val="auto"/>
          <w:sz w:val="21"/>
          <w:szCs w:val="21"/>
          <w:highlight w:val="none"/>
          <w:u w:val="single"/>
        </w:rPr>
        <w:t xml:space="preserve"> 承包人</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承担。</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1.11 知识产权</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1.11.1 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color w:val="auto"/>
          <w:sz w:val="21"/>
          <w:szCs w:val="21"/>
          <w:highlight w:val="none"/>
          <w:u w:val="single"/>
        </w:rPr>
        <w:t xml:space="preserve">   发包人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关于发包人提供的上述文件的使用限制的要求：</w:t>
      </w:r>
      <w:r>
        <w:rPr>
          <w:rFonts w:hint="eastAsia" w:ascii="宋体" w:hAnsi="宋体" w:eastAsia="宋体" w:cs="Times New Roman"/>
          <w:color w:val="auto"/>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1.11.2 关于承包人为实施工程所编制文件的著作权的归属：</w:t>
      </w:r>
      <w:r>
        <w:rPr>
          <w:rFonts w:ascii="宋体" w:hAnsi="宋体" w:eastAsia="宋体" w:cs="Times New Roman"/>
          <w:color w:val="auto"/>
          <w:sz w:val="21"/>
          <w:szCs w:val="21"/>
          <w:highlight w:val="none"/>
          <w:u w:val="single"/>
        </w:rPr>
        <w:t xml:space="preserve">  发包人  </w:t>
      </w:r>
      <w:r>
        <w:rPr>
          <w:rFonts w:ascii="宋体" w:hAnsi="宋体" w:eastAsia="宋体" w:cs="Times New Roman"/>
          <w:color w:val="auto"/>
          <w:sz w:val="21"/>
          <w:szCs w:val="21"/>
          <w:highlight w:val="none"/>
        </w:rPr>
        <w:t xml:space="preserve">。</w:t>
      </w:r>
      <w:r/>
    </w:p>
    <w:p>
      <w:pPr>
        <w:ind w:firstLine="420"/>
        <w:spacing w:line="400" w:lineRule="exac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关于承包人提供的上述文件的使用限制的要求：</w:t>
      </w:r>
      <w:r>
        <w:rPr>
          <w:rFonts w:hint="eastAsia" w:ascii="宋体" w:hAnsi="宋体" w:eastAsia="宋体" w:cs="Times New Roman"/>
          <w:color w:val="auto"/>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承包人违反1.11.1以及1.11.2的约定的，需承担本合同总金额5%的违约金</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1.11.4 承包人在施工过程中所采用的专利、专有技术、技术秘密的使用费的承担方式：</w:t>
      </w:r>
      <w:r>
        <w:rPr>
          <w:rFonts w:hint="eastAsia" w:ascii="宋体" w:hAnsi="宋体" w:eastAsia="宋体" w:cs="Times New Roman"/>
          <w:color w:val="auto"/>
          <w:sz w:val="21"/>
          <w:szCs w:val="21"/>
          <w:highlight w:val="none"/>
          <w:u w:val="single"/>
        </w:rPr>
        <w:t xml:space="preserve">承包人承担</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1.13 工程量清单错误的修正</w:t>
      </w:r>
      <w:r/>
    </w:p>
    <w:p>
      <w:pPr>
        <w:ind w:firstLine="422"/>
        <w:spacing w:line="400" w:lineRule="exact"/>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1.13.1 出现工程量清单错误时，是否调整合同价格：</w:t>
      </w:r>
      <w:r/>
    </w:p>
    <w:p>
      <w:pPr>
        <w:ind w:firstLine="422"/>
        <w:spacing w:line="400" w:lineRule="exact"/>
        <w:rPr>
          <w:rFonts w:ascii="Times New Roman" w:hAnsi="Times New Roman" w:eastAsia="宋体" w:cs="Times New Roman"/>
          <w:b/>
          <w:bCs/>
          <w:color w:val="auto"/>
          <w:sz w:val="21"/>
          <w:szCs w:val="21"/>
          <w:highlight w:val="none"/>
          <w:u w:val="single"/>
        </w:rPr>
      </w:pPr>
      <w:r>
        <w:rPr>
          <w:rFonts w:ascii="Times New Roman" w:hAnsi="Times New Roman" w:eastAsia="宋体" w:cs="Times New Roman"/>
          <w:b/>
          <w:bCs/>
          <w:color w:val="auto"/>
          <w:sz w:val="21"/>
          <w:szCs w:val="21"/>
          <w:highlight w:val="none"/>
          <w:u w:val="single"/>
        </w:rPr>
        <w:t xml:space="preserve">无论招标时工程量清单中项目特征描述是否完整或准确，发包人要求承包人的投标报价应为完成施工图纸的全部内容，若无相关设计变更，除本招标文件及施工合同中约定允许调整外</w:t>
      </w:r>
      <w:r>
        <w:rPr>
          <w:rFonts w:hint="eastAsia" w:ascii="Times New Roman" w:hAnsi="Times New Roman" w:eastAsia="宋体" w:cs="Times New Roman"/>
          <w:b/>
          <w:bCs/>
          <w:color w:val="auto"/>
          <w:sz w:val="21"/>
          <w:szCs w:val="21"/>
          <w:highlight w:val="none"/>
          <w:u w:val="single"/>
        </w:rPr>
        <w:t xml:space="preserve">，</w:t>
      </w:r>
      <w:r>
        <w:rPr>
          <w:rFonts w:ascii="Times New Roman" w:hAnsi="Times New Roman" w:eastAsia="宋体" w:cs="Times New Roman"/>
          <w:b/>
          <w:bCs/>
          <w:color w:val="auto"/>
          <w:sz w:val="21"/>
          <w:szCs w:val="21"/>
          <w:highlight w:val="none"/>
          <w:u w:val="single"/>
        </w:rPr>
        <w:t xml:space="preserve">中标的综合单价不予调整。</w:t>
      </w:r>
      <w:r/>
    </w:p>
    <w:p>
      <w:pPr>
        <w:ind w:firstLine="422"/>
        <w:spacing w:line="400" w:lineRule="exact"/>
        <w:rPr>
          <w:rFonts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00" w:lineRule="exact"/>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u w:val="single"/>
        </w:rPr>
        <w:t xml:space="preserve">工程量按实际完成的工程量结算。最终以发包人委托的有执业资格的工程造价咨询机构或</w:t>
      </w:r>
      <w:r>
        <w:rPr>
          <w:rFonts w:hint="eastAsia" w:ascii="Times New Roman" w:hAnsi="Times New Roman" w:eastAsia="宋体" w:cs="Times New Roman"/>
          <w:b/>
          <w:bCs/>
          <w:color w:val="auto"/>
          <w:sz w:val="21"/>
          <w:szCs w:val="21"/>
          <w:highlight w:val="none"/>
          <w:u w:val="single"/>
        </w:rPr>
        <w:t xml:space="preserve">射阳县财政局</w:t>
      </w:r>
      <w:r>
        <w:rPr>
          <w:rFonts w:ascii="Times New Roman" w:hAnsi="Times New Roman" w:eastAsia="宋体" w:cs="Times New Roman"/>
          <w:b/>
          <w:bCs/>
          <w:color w:val="auto"/>
          <w:sz w:val="21"/>
          <w:szCs w:val="21"/>
          <w:highlight w:val="none"/>
          <w:u w:val="single"/>
        </w:rPr>
        <w:t xml:space="preserve">审</w:t>
      </w:r>
      <w:r>
        <w:rPr>
          <w:rFonts w:hint="eastAsia" w:ascii="Times New Roman" w:hAnsi="Times New Roman" w:eastAsia="宋体" w:cs="Times New Roman"/>
          <w:b/>
          <w:bCs/>
          <w:color w:val="auto"/>
          <w:sz w:val="21"/>
          <w:szCs w:val="21"/>
          <w:highlight w:val="none"/>
          <w:u w:val="single"/>
        </w:rPr>
        <w:t xml:space="preserve">计</w:t>
      </w:r>
      <w:r>
        <w:rPr>
          <w:rFonts w:ascii="Times New Roman" w:hAnsi="Times New Roman" w:eastAsia="宋体" w:cs="Times New Roman"/>
          <w:b/>
          <w:bCs/>
          <w:color w:val="auto"/>
          <w:sz w:val="21"/>
          <w:szCs w:val="21"/>
          <w:highlight w:val="none"/>
          <w:u w:val="single"/>
        </w:rPr>
        <w:t xml:space="preserve">中心审核确认后的工程竣工结算价为准。其中，由承包人代交纳的相关规费等费用，在最终结算时凭缴费发票进入结算总价中。</w:t>
      </w:r>
      <w:r/>
    </w:p>
    <w:p>
      <w:pPr>
        <w:ind w:firstLine="422"/>
        <w:spacing w:line="400" w:lineRule="exact"/>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1.13.2允许调整合同价格的工程量偏差范围：</w:t>
      </w:r>
      <w:r/>
    </w:p>
    <w:p>
      <w:pPr>
        <w:ind w:firstLine="422"/>
        <w:spacing w:line="400" w:lineRule="exact"/>
        <w:rPr>
          <w:rFonts w:hint="eastAsia"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 xml:space="preserve">（1）非承包人原因造成的工程变更（含设计变更）或其它不可预见的工程量；</w:t>
      </w:r>
      <w:r/>
    </w:p>
    <w:p>
      <w:pPr>
        <w:ind w:firstLine="422"/>
        <w:spacing w:line="400" w:lineRule="exact"/>
        <w:rPr>
          <w:rFonts w:hint="eastAsia"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 </w:t>
      </w:r>
      <w:r/>
    </w:p>
    <w:p>
      <w:pPr>
        <w:pStyle w:val="1089"/>
        <w:rPr>
          <w:color w:val="auto"/>
          <w:highlight w:val="none"/>
        </w:rPr>
      </w:pPr>
      <w:r>
        <w:rPr>
          <w:color w:val="auto"/>
          <w:highlight w:val="none"/>
        </w:rPr>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2. 发包人</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2.2 发包人代表</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发包人代表：</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姓    名：</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身份证号：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职    务：</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发包人对发包人代表的授权范围如下：</w:t>
      </w:r>
      <w:r>
        <w:rPr>
          <w:rFonts w:ascii="宋体" w:hAnsi="宋体" w:eastAsia="宋体" w:cs="Times New Roman"/>
          <w:color w:val="auto"/>
          <w:sz w:val="21"/>
          <w:szCs w:val="21"/>
          <w:highlight w:val="none"/>
          <w:u w:val="single"/>
        </w:rPr>
        <w:t xml:space="preserve">代表发包人负责整体工程协调管理、批准所有签证及变更方案实施</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2.4 施工现场、施工条件和基础资料的提供</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2.4.1 提供施工现场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关于发包人移交施工现场的期限要求：</w:t>
      </w:r>
      <w:r>
        <w:rPr>
          <w:rFonts w:ascii="宋体" w:hAnsi="宋体" w:eastAsia="宋体" w:cs="Times New Roman"/>
          <w:color w:val="auto"/>
          <w:sz w:val="21"/>
          <w:szCs w:val="21"/>
          <w:highlight w:val="none"/>
          <w:u w:val="single"/>
        </w:rPr>
        <w:t xml:space="preserve">合同签订后 3 日内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2.4.2 提供施工条件</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关于发包人应负责提供施工所需要的条件，包括：</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（2）协调处理施工场地周围地下管线和邻近建筑物、构筑（含文物保护建筑）、古树名木的保护工作；</w:t>
      </w:r>
      <w:r/>
    </w:p>
    <w:p>
      <w:pPr>
        <w:ind w:firstLine="420"/>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（3）施工现场场内交通条件，如不具备，则由承包人实施，并承担费用。</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2.5 资金来源证明及支付担保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发包人提供资金来源证明的期限要求：</w:t>
      </w:r>
      <w:r>
        <w:rPr>
          <w:rFonts w:hint="eastAsia" w:ascii="宋体" w:hAnsi="宋体" w:eastAsia="宋体" w:cs="Times New Roman"/>
          <w:color w:val="auto"/>
          <w:sz w:val="21"/>
          <w:szCs w:val="21"/>
          <w:highlight w:val="none"/>
          <w:u w:val="single"/>
        </w:rPr>
        <w:t xml:space="preserve">已提供</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发包人是否提供支付担保：</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是</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发包人提供支付担保的形式：</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3. 承包人</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3.1 承包人的一般义务</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（9）承包人提交的竣工资料的内容：</w:t>
      </w:r>
      <w:r>
        <w:rPr>
          <w:rFonts w:ascii="宋体" w:hAnsi="宋体" w:eastAsia="宋体" w:cs="Times New Roman"/>
          <w:color w:val="auto"/>
          <w:sz w:val="21"/>
          <w:szCs w:val="21"/>
          <w:highlight w:val="none"/>
          <w:u w:val="single"/>
        </w:rPr>
        <w:t xml:space="preserve">  按发包人要求提交全套施工资料及竣工图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承包人需要提交的竣工资料套数：</w:t>
      </w:r>
      <w:r>
        <w:rPr>
          <w:rFonts w:ascii="宋体" w:hAnsi="宋体" w:eastAsia="宋体" w:cs="Times New Roman"/>
          <w:color w:val="auto"/>
          <w:sz w:val="21"/>
          <w:szCs w:val="21"/>
          <w:highlight w:val="none"/>
          <w:u w:val="single"/>
        </w:rPr>
        <w:t xml:space="preserve">  竣工资料和竣工图肆套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承包人提交的竣工资料的费用承担：</w:t>
      </w:r>
      <w:r>
        <w:rPr>
          <w:rFonts w:ascii="宋体" w:hAnsi="宋体" w:eastAsia="宋体" w:cs="Times New Roman"/>
          <w:color w:val="auto"/>
          <w:sz w:val="21"/>
          <w:szCs w:val="21"/>
          <w:highlight w:val="none"/>
          <w:u w:val="single"/>
        </w:rPr>
        <w:t xml:space="preserve">  由承包人负责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承包人提交的竣工资料移交时间：</w:t>
      </w:r>
      <w:r>
        <w:rPr>
          <w:rFonts w:ascii="宋体" w:hAnsi="宋体" w:eastAsia="宋体" w:cs="Times New Roman"/>
          <w:color w:val="auto"/>
          <w:sz w:val="21"/>
          <w:szCs w:val="21"/>
          <w:highlight w:val="none"/>
          <w:u w:val="single"/>
        </w:rPr>
        <w:t xml:space="preserve">  工程竣工验收合格后3日内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承包人提交的竣工资料形式要求：</w:t>
      </w:r>
      <w:r>
        <w:rPr>
          <w:rFonts w:ascii="宋体" w:hAnsi="宋体" w:eastAsia="宋体" w:cs="Times New Roman"/>
          <w:color w:val="auto"/>
          <w:sz w:val="21"/>
          <w:szCs w:val="21"/>
          <w:highlight w:val="none"/>
          <w:u w:val="single"/>
        </w:rPr>
        <w:t xml:space="preserve">   书面资料及电子档资料      </w:t>
      </w:r>
      <w:r>
        <w:rPr>
          <w:rFonts w:ascii="宋体" w:hAnsi="宋体" w:eastAsia="宋体" w:cs="Times New Roman"/>
          <w:color w:val="auto"/>
          <w:sz w:val="21"/>
          <w:szCs w:val="21"/>
          <w:highlight w:val="none"/>
        </w:rPr>
        <w:t xml:space="preserve">。</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color w:val="auto"/>
          <w:sz w:val="21"/>
          <w:szCs w:val="21"/>
          <w:highlight w:val="none"/>
          <w:u w:val="single"/>
          <w:lang w:val="en-US" w:eastAsia="zh-CN" w:bidi="ar-SA"/>
        </w:rPr>
      </w:pPr>
      <w:r>
        <w:rPr>
          <w:rFonts w:hint="default" w:ascii="宋体" w:hAnsi="宋体" w:eastAsia="宋体" w:cs="Times New Roman"/>
          <w:color w:val="auto"/>
          <w:sz w:val="21"/>
          <w:szCs w:val="21"/>
          <w:highlight w:val="none"/>
          <w:lang w:val="en-US" w:eastAsia="zh-CN" w:bidi="ar-SA"/>
        </w:rPr>
        <w:t xml:space="preserve">（10）承包人应履行的其他义务：</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10.1承担施工安全保卫工作、夜间施工及非夜间施工照明的责任和要求：承包人在各种危险部位设置明显的安全警示标志，安全警示标志必须符合国家标准。</w:t>
      </w:r>
      <w:r>
        <w:rPr>
          <w:rFonts w:hint="default" w:ascii="宋体" w:hAnsi="宋体" w:eastAsia="宋体" w:cs="Times New Roman"/>
          <w:color w:val="auto"/>
          <w:sz w:val="21"/>
          <w:szCs w:val="21"/>
          <w:highlight w:val="none"/>
          <w:u w:val="single"/>
          <w:lang w:val="en-US" w:eastAsia="zh-CN" w:bidi="ar-SA"/>
        </w:rPr>
        <w:t xml:space="preserve">安排专人24小时负责安全保卫工作，非夜间施工照明应注意安全要求，费用由承包人承担</w:t>
      </w:r>
      <w:r>
        <w:rPr>
          <w:rFonts w:hint="eastAsia" w:ascii="宋体" w:hAnsi="宋体" w:eastAsia="宋体" w:cs="Times New Roman"/>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如发生安全事故，责任概由承包人承担，并按招标文件的相关约定要求进行处罚。</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10.3已完工程成品保护的特殊要求及费用承担：已竣工工程未交付发包人之前，负责已完成工程的保护工作，所需费用含在合同价内。</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10.4承包人必须对施工场地周围地下管线和邻近建筑物、构筑物、</w:t>
      </w:r>
      <w:r>
        <w:rPr>
          <w:rFonts w:hint="default" w:ascii="宋体" w:hAnsi="宋体" w:eastAsia="宋体" w:cs="Times New Roman"/>
          <w:color w:val="auto"/>
          <w:sz w:val="21"/>
          <w:szCs w:val="21"/>
          <w:highlight w:val="none"/>
          <w:u w:val="single"/>
          <w:lang w:val="en-US" w:eastAsia="zh-CN" w:bidi="ar-SA"/>
        </w:rPr>
        <w:t xml:space="preserve">古树名木</w:t>
      </w:r>
      <w:r>
        <w:rPr>
          <w:rFonts w:hint="eastAsia" w:ascii="宋体" w:hAnsi="宋体" w:eastAsia="宋体" w:cs="宋体"/>
          <w:color w:val="auto"/>
          <w:sz w:val="21"/>
          <w:szCs w:val="21"/>
          <w:highlight w:val="none"/>
          <w:u w:val="single"/>
          <w:lang w:val="en-US" w:eastAsia="zh-CN" w:bidi="ar-SA"/>
        </w:rPr>
        <w:t xml:space="preserve">进行保护，费用由承包人负责；如因承包人没有及时报告和保护而造成的一切经济损失和法律责任由承包人承担。</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10.5施工场地清洁卫生的要求：按文明工地标准，施工现场材料堆放要整齐，并有遮盖，不得扬尘，机械停放有序，符合清洁卫生要求，承担因自身原因违反有关规定造成的损失和罚款。</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10.6双方约定承包人应做的其他工作：施工场地要设立标语、标牌，做到文明施工，树立企业形象，主动接受社会监督和有关部门的管理。</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10.7承包人在本工程竣工验收后七日内拆除所有临时设施，并清运出现场，费用由承包人负责。否则，如发生相关费用由发包人在工程竣工结算价款中扣除。</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10.8如发包人代扣代缴本工程应由承包人缴纳的各种费用，承包人必须履行发包人要求的各项手续，费用由承包人负责。</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10.9承包人无条件服从发包人管理工作的要求。自行协调与其它专业工程施工承包人（如有）之间的矛盾，如发生相关费用，由承包人自行承担。同时施工过程中遇到的地方矛盾及由此发生的费用由承包人自行负责。</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10.10</w:t>
      </w:r>
      <w:r>
        <w:rPr>
          <w:rFonts w:hint="default" w:ascii="宋体" w:hAnsi="宋体" w:eastAsia="宋体" w:cs="Times New Roman"/>
          <w:color w:val="auto"/>
          <w:sz w:val="21"/>
          <w:szCs w:val="21"/>
          <w:highlight w:val="none"/>
          <w:u w:val="single"/>
          <w:lang w:val="en-US" w:eastAsia="zh-CN" w:bidi="ar-SA"/>
        </w:rPr>
        <w:t xml:space="preserve">本工程向建设主管部门办理的工程施工许可手续</w:t>
      </w:r>
      <w:r>
        <w:rPr>
          <w:rFonts w:hint="eastAsia" w:ascii="宋体" w:hAnsi="宋体" w:eastAsia="宋体" w:cs="Times New Roman"/>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质监手续及其它施工所需证件等</w:t>
      </w:r>
      <w:r>
        <w:rPr>
          <w:rFonts w:hint="default" w:ascii="宋体" w:hAnsi="宋体" w:eastAsia="宋体" w:cs="Times New Roman"/>
          <w:color w:val="auto"/>
          <w:sz w:val="21"/>
          <w:szCs w:val="21"/>
          <w:highlight w:val="none"/>
          <w:u w:val="single"/>
          <w:lang w:val="en-US" w:eastAsia="zh-CN" w:bidi="ar-SA"/>
        </w:rPr>
        <w:t xml:space="preserve">，由承包人代为办理，发包人协助，费用按规定承担</w:t>
      </w:r>
      <w:r>
        <w:rPr>
          <w:rFonts w:hint="eastAsia" w:ascii="宋体" w:hAnsi="宋体" w:eastAsia="宋体" w:cs="Times New Roman"/>
          <w:color w:val="auto"/>
          <w:sz w:val="21"/>
          <w:szCs w:val="21"/>
          <w:highlight w:val="none"/>
          <w:u w:val="single"/>
          <w:lang w:val="en-US" w:eastAsia="zh-CN" w:bidi="ar-SA"/>
        </w:rPr>
        <w:t xml:space="preserve">。</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10.11、承包人进场后，必须编制施工方案，做好技术交底。方案经监理工程师审批合格后方可进行施工</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ind w:firstLine="422"/>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10.13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3.2 项目经理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3.2.1 项目经理：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姓    名：</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身份证号：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建造师执业资格等级：</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建造师注册证书号：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建造师执业印章号：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安全生产考核合格证书号：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承包人对项目经理的授权范围如下：</w:t>
      </w:r>
      <w:r>
        <w:rPr>
          <w:rFonts w:ascii="宋体" w:hAnsi="宋体" w:eastAsia="宋体" w:cs="Times New Roman"/>
          <w:color w:val="auto"/>
          <w:sz w:val="21"/>
          <w:szCs w:val="21"/>
          <w:highlight w:val="none"/>
          <w:u w:val="single"/>
        </w:rPr>
        <w:t xml:space="preserve">代表承包方全面负责施工合同的履行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关于项目经理每月在施工现场的时间要求：</w:t>
      </w:r>
      <w:r>
        <w:rPr>
          <w:rFonts w:ascii="宋体" w:hAnsi="宋体" w:eastAsia="宋体" w:cs="Times New Roman"/>
          <w:color w:val="auto"/>
          <w:sz w:val="21"/>
          <w:szCs w:val="21"/>
          <w:highlight w:val="none"/>
          <w:u w:val="single"/>
        </w:rPr>
        <w:t xml:space="preserve">该工程施工过程中项目经理和投标时确认的项目部人员必须常驻现场实施施工管理</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承包人未提交劳动合同，以及没有为项目经理缴纳社会保险证明的违约责任：</w:t>
      </w:r>
      <w:r>
        <w:rPr>
          <w:rFonts w:hint="eastAsia" w:ascii="宋体" w:hAnsi="宋体" w:eastAsia="宋体" w:cs="Times New Roman"/>
          <w:color w:val="auto"/>
          <w:sz w:val="21"/>
          <w:szCs w:val="21"/>
          <w:highlight w:val="none"/>
          <w:u w:val="single"/>
        </w:rPr>
        <w:t xml:space="preserve">经发包人提出后，承包人未整改的，发包人有权终止合同，没收全部履约保证金</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项目经理未经批准，擅自离开施工现场的违约责任：</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eastAsia="宋体" w:cs="Times New Roman"/>
          <w:b/>
          <w:color w:val="auto"/>
          <w:sz w:val="21"/>
          <w:szCs w:val="21"/>
          <w:highlight w:val="none"/>
          <w:u w:val="single"/>
        </w:rPr>
        <w:t xml:space="preserve">2</w:t>
      </w:r>
      <w:r>
        <w:rPr>
          <w:rFonts w:ascii="宋体" w:hAnsi="宋体" w:eastAsia="宋体" w:cs="Times New Roman"/>
          <w:b/>
          <w:color w:val="auto"/>
          <w:sz w:val="21"/>
          <w:szCs w:val="21"/>
          <w:highlight w:val="none"/>
          <w:u w:val="single"/>
        </w:rPr>
        <w:t xml:space="preserve">000.00元</w:t>
      </w:r>
      <w:r>
        <w:rPr>
          <w:rFonts w:hint="eastAsia" w:ascii="宋体" w:hAnsi="宋体" w:eastAsia="宋体" w:cs="Times New Roman"/>
          <w:color w:val="auto"/>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3.2.3 承包人擅自更换项目经理的违约责任：</w:t>
      </w:r>
      <w:r>
        <w:rPr>
          <w:rFonts w:ascii="宋体" w:hAnsi="宋体" w:eastAsia="宋体" w:cs="Times New Roman"/>
          <w:color w:val="auto"/>
          <w:sz w:val="21"/>
          <w:szCs w:val="21"/>
          <w:highlight w:val="none"/>
          <w:u w:val="single"/>
        </w:rPr>
        <w:t xml:space="preserve">未经发包人同意，发包人可终止合同</w:t>
      </w:r>
      <w:r>
        <w:rPr>
          <w:rFonts w:hint="eastAsia" w:ascii="宋体" w:hAnsi="宋体" w:eastAsia="宋体" w:cs="Times New Roman"/>
          <w:color w:val="auto"/>
          <w:sz w:val="21"/>
          <w:szCs w:val="21"/>
          <w:highlight w:val="none"/>
          <w:u w:val="single"/>
        </w:rPr>
        <w:t xml:space="preserve">，并要求承包人支付合同总价2%违约金，给发包人造成损失的还需赔偿发包人的损失</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3.2.4 承包人无正当理由拒绝更换项目经理的违约责任：</w:t>
      </w:r>
      <w:r>
        <w:rPr>
          <w:rFonts w:hint="eastAsia" w:ascii="宋体" w:hAnsi="宋体" w:eastAsia="宋体" w:cs="Times New Roman"/>
          <w:color w:val="auto"/>
          <w:sz w:val="21"/>
          <w:szCs w:val="21"/>
          <w:highlight w:val="none"/>
          <w:u w:val="single"/>
        </w:rPr>
        <w:t xml:space="preserve">发包人可终止合同，并要求承包人支付合同总价2%违约金，给发包人造成损失的还需赔偿发包人的损失</w:t>
      </w:r>
      <w:r>
        <w:rPr>
          <w:rFonts w:hint="eastAsia"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3.3 承包人人员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3.3.1 承包人提交项目管理机构及施工现场管理人员安排报告的期限：</w:t>
      </w:r>
      <w:r>
        <w:rPr>
          <w:rFonts w:ascii="宋体" w:hAnsi="宋体" w:eastAsia="宋体" w:cs="Times New Roman"/>
          <w:color w:val="auto"/>
          <w:sz w:val="21"/>
          <w:szCs w:val="21"/>
          <w:highlight w:val="none"/>
          <w:u w:val="single"/>
        </w:rPr>
        <w:t xml:space="preserve"> 进场 3 日内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施工现场主要管理人员：技术负责人</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，质检员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，施工员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，安全员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3.3.3 承包人无正当理由拒绝撤换主要施工管理人员的违约责任：</w:t>
      </w:r>
      <w:r>
        <w:rPr>
          <w:rFonts w:hint="eastAsia" w:ascii="宋体" w:hAnsi="宋体" w:eastAsia="宋体" w:cs="Times New Roman"/>
          <w:color w:val="auto"/>
          <w:sz w:val="21"/>
          <w:szCs w:val="21"/>
          <w:highlight w:val="none"/>
          <w:u w:val="single"/>
        </w:rPr>
        <w:t xml:space="preserve">发包人可终止合同，并要求承包人支付合同总价2%违约金，给发包人造成损失的还需赔偿发包人的损失。</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3.3.4 承包人主要施工管理人员离开施工现场的批准要求：</w:t>
      </w:r>
      <w:r>
        <w:rPr>
          <w:rFonts w:ascii="宋体" w:hAnsi="宋体" w:eastAsia="宋体" w:cs="Times New Roman"/>
          <w:color w:val="auto"/>
          <w:sz w:val="21"/>
          <w:szCs w:val="21"/>
          <w:highlight w:val="none"/>
          <w:u w:val="single"/>
        </w:rPr>
        <w:t xml:space="preserve">中途施工管理人员需离岗必须履行书面请假手续并经发包人同意。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3.3.5承包人擅自更换主要施工管理人员的违约责任：</w:t>
      </w:r>
      <w:r>
        <w:rPr>
          <w:rFonts w:ascii="宋体" w:hAnsi="宋体" w:eastAsia="宋体" w:cs="Times New Roman"/>
          <w:color w:val="auto"/>
          <w:sz w:val="21"/>
          <w:szCs w:val="21"/>
          <w:highlight w:val="none"/>
          <w:u w:val="single"/>
        </w:rPr>
        <w:t xml:space="preserve">未经发包人同意，发包人可终止合同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3.3.6承包人主要施工管理人员擅自离开施工现场的违约责任：</w:t>
      </w:r>
      <w:r>
        <w:rPr>
          <w:rFonts w:ascii="宋体" w:hAnsi="宋体" w:eastAsia="宋体" w:cs="Times New Roman"/>
          <w:color w:val="auto"/>
          <w:sz w:val="21"/>
          <w:szCs w:val="21"/>
          <w:highlight w:val="none"/>
          <w:u w:val="single"/>
        </w:rPr>
        <w:t xml:space="preserve">若未经发包人同意而擅自离岗的，将处以每人每天</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rPr>
        <w:t xml:space="preserve">2</w:t>
      </w:r>
      <w:r>
        <w:rPr>
          <w:rFonts w:ascii="宋体" w:hAnsi="宋体" w:eastAsia="宋体" w:cs="Times New Roman"/>
          <w:b/>
          <w:color w:val="auto"/>
          <w:sz w:val="21"/>
          <w:szCs w:val="21"/>
          <w:highlight w:val="none"/>
          <w:u w:val="single"/>
        </w:rPr>
        <w:t xml:space="preserve">000.00 元</w:t>
      </w:r>
      <w:r>
        <w:rPr>
          <w:rFonts w:ascii="宋体" w:hAnsi="宋体" w:eastAsia="宋体" w:cs="Times New Roman"/>
          <w:color w:val="auto"/>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400" w:lineRule="exact"/>
        <w:rPr>
          <w:rFonts w:ascii="宋体" w:hAnsi="宋体" w:eastAsia="宋体" w:cs="Times New Roman"/>
          <w:color w:val="auto"/>
          <w:sz w:val="21"/>
          <w:szCs w:val="21"/>
          <w:highlight w:val="none"/>
        </w:rPr>
      </w:pPr>
      <w:r>
        <w:rPr>
          <w:rFonts w:ascii="宋体" w:hAnsi="宋体" w:eastAsia="宋体" w:cs="Times New Roman"/>
          <w:b/>
          <w:color w:val="auto"/>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3.5 分包</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3.5.1 分包的一般约定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禁止分包的工程包括：</w:t>
      </w:r>
      <w:r>
        <w:rPr>
          <w:rFonts w:ascii="宋体" w:hAnsi="宋体" w:eastAsia="宋体" w:cs="Times New Roman"/>
          <w:color w:val="auto"/>
          <w:sz w:val="21"/>
          <w:szCs w:val="21"/>
          <w:highlight w:val="none"/>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主体结构、关键性工作的范围：</w:t>
      </w:r>
      <w:r>
        <w:rPr>
          <w:rFonts w:ascii="宋体" w:hAnsi="宋体" w:eastAsia="宋体" w:cs="Times New Roman"/>
          <w:color w:val="auto"/>
          <w:sz w:val="21"/>
          <w:szCs w:val="21"/>
          <w:highlight w:val="none"/>
          <w:u w:val="single"/>
        </w:rPr>
        <w:t xml:space="preserve">  主体工程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3.5.2 分包的确定</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允许分包的专业工程包括：</w:t>
      </w:r>
      <w:r>
        <w:rPr>
          <w:rFonts w:ascii="宋体" w:hAnsi="宋体" w:eastAsia="宋体" w:cs="Times New Roman"/>
          <w:color w:val="auto"/>
          <w:sz w:val="21"/>
          <w:szCs w:val="21"/>
          <w:highlight w:val="none"/>
          <w:u w:val="single"/>
        </w:rPr>
        <w:t xml:space="preserve">除有主体结构、关键性工作之外的专业工程，如不具备相应资质的，应当分包给具有相应资质的施工单位，并征得发包人的书面同意</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其他关于分包的约定：</w:t>
      </w:r>
      <w:r>
        <w:rPr>
          <w:rFonts w:ascii="宋体" w:hAnsi="宋体" w:eastAsia="宋体" w:cs="Times New Roman"/>
          <w:color w:val="auto"/>
          <w:sz w:val="21"/>
          <w:szCs w:val="21"/>
          <w:highlight w:val="none"/>
          <w:u w:val="single"/>
        </w:rPr>
        <w:t xml:space="preserve">  对于发包人进行的专业分包项目，承包人须对安全、质量、工程进度进行分包管理。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3.5.4 分包合同价款</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关于分包合同价款支付的约定：</w:t>
      </w:r>
      <w:r>
        <w:rPr>
          <w:rFonts w:ascii="宋体" w:hAnsi="宋体" w:eastAsia="宋体" w:cs="Times New Roman"/>
          <w:color w:val="auto"/>
          <w:sz w:val="21"/>
          <w:szCs w:val="21"/>
          <w:highlight w:val="none"/>
          <w:u w:val="single"/>
        </w:rPr>
        <w:t xml:space="preserve">   按分包合同约定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3.6 工程照管与成品、半成品保护</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承包人负责照管工程及工程相关的材料、工程设备的起始时间：</w:t>
      </w:r>
      <w:r>
        <w:rPr>
          <w:rFonts w:ascii="宋体" w:hAnsi="宋体" w:eastAsia="宋体" w:cs="Times New Roman"/>
          <w:color w:val="auto"/>
          <w:sz w:val="21"/>
          <w:szCs w:val="21"/>
          <w:highlight w:val="none"/>
          <w:u w:val="single"/>
        </w:rPr>
        <w:t xml:space="preserve">进场直至施工完成交付使用，费用由承包人承担</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3.7 履约担保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承包人是否提供履约担保：</w:t>
      </w:r>
      <w:r>
        <w:rPr>
          <w:rFonts w:ascii="宋体" w:hAnsi="宋体" w:eastAsia="宋体" w:cs="Times New Roman"/>
          <w:color w:val="auto"/>
          <w:sz w:val="21"/>
          <w:szCs w:val="21"/>
          <w:highlight w:val="none"/>
          <w:u w:val="single"/>
        </w:rPr>
        <w:t xml:space="preserve">    是    </w:t>
      </w:r>
      <w:r>
        <w:rPr>
          <w:rFonts w:ascii="宋体" w:hAnsi="宋体" w:eastAsia="宋体" w:cs="Times New Roman"/>
          <w:color w:val="auto"/>
          <w:sz w:val="21"/>
          <w:szCs w:val="21"/>
          <w:highlight w:val="none"/>
        </w:rPr>
        <w:t xml:space="preserve">。</w:t>
      </w:r>
      <w:r/>
    </w:p>
    <w:p>
      <w:pPr>
        <w:ind w:firstLine="422"/>
        <w:spacing w:line="400" w:lineRule="exact"/>
        <w:rPr>
          <w:rFonts w:ascii="宋体" w:hAnsi="宋体" w:eastAsia="宋体" w:cs="Times New Roman"/>
          <w:color w:val="auto"/>
          <w:sz w:val="21"/>
          <w:szCs w:val="21"/>
          <w:highlight w:val="none"/>
          <w:u w:val="single"/>
        </w:rPr>
      </w:pPr>
      <w:r>
        <w:rPr>
          <w:rFonts w:ascii="宋体" w:hAnsi="宋体" w:eastAsia="宋体" w:cs="Times New Roman"/>
          <w:b/>
          <w:bCs/>
          <w:color w:val="auto"/>
          <w:sz w:val="21"/>
          <w:szCs w:val="21"/>
          <w:highlight w:val="none"/>
        </w:rPr>
        <w:t xml:space="preserve">承包人提供履约担保的形式、金额及期限的：</w:t>
      </w:r>
      <w:r>
        <w:rPr>
          <w:rFonts w:hint="eastAsia" w:ascii="宋体" w:hAnsi="宋体" w:eastAsia="宋体" w:cs="Times New Roman"/>
          <w:color w:val="auto"/>
          <w:sz w:val="21"/>
          <w:szCs w:val="21"/>
          <w:highlight w:val="none"/>
          <w:u w:val="single"/>
        </w:rPr>
        <w:t xml:space="preserve">按招标文件约定。</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4. 监理人</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4.1 监理人的一般规定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关于监理人的监理内容：</w:t>
      </w:r>
      <w:r>
        <w:rPr>
          <w:rFonts w:ascii="宋体" w:hAnsi="宋体" w:eastAsia="宋体" w:cs="Times New Roman"/>
          <w:color w:val="auto"/>
          <w:sz w:val="21"/>
          <w:szCs w:val="21"/>
          <w:highlight w:val="none"/>
          <w:u w:val="single"/>
        </w:rPr>
        <w:t xml:space="preserve">监理人</w:t>
      </w:r>
      <w:r>
        <w:rPr>
          <w:rFonts w:hint="eastAsia" w:ascii="宋体" w:hAnsi="宋体" w:eastAsia="宋体" w:cs="Times New Roman"/>
          <w:color w:val="auto"/>
          <w:sz w:val="21"/>
          <w:szCs w:val="21"/>
          <w:highlight w:val="none"/>
          <w:u w:val="single"/>
        </w:rPr>
        <w:t xml:space="preserve">受</w:t>
      </w:r>
      <w:r>
        <w:rPr>
          <w:rFonts w:ascii="宋体" w:hAnsi="宋体" w:eastAsia="宋体" w:cs="Times New Roman"/>
          <w:color w:val="auto"/>
          <w:sz w:val="21"/>
          <w:szCs w:val="21"/>
          <w:highlight w:val="none"/>
          <w:u w:val="single"/>
        </w:rPr>
        <w:t xml:space="preserve">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关于监理人的监理权限：</w:t>
      </w:r>
      <w:r>
        <w:rPr>
          <w:rFonts w:ascii="宋体" w:hAnsi="宋体" w:eastAsia="宋体" w:cs="Times New Roman"/>
          <w:color w:val="auto"/>
          <w:sz w:val="21"/>
          <w:szCs w:val="21"/>
          <w:highlight w:val="none"/>
          <w:u w:val="single"/>
        </w:rPr>
        <w:t xml:space="preserve">根据《建设工程监理合同》约定》</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关于监理人在施工现场的办公场所、生活场所的提供和费用承担的约定：</w:t>
      </w:r>
      <w:r>
        <w:rPr>
          <w:rFonts w:ascii="宋体" w:hAnsi="宋体" w:eastAsia="宋体" w:cs="Times New Roman"/>
          <w:color w:val="auto"/>
          <w:sz w:val="21"/>
          <w:szCs w:val="21"/>
          <w:highlight w:val="none"/>
          <w:u w:val="single"/>
        </w:rPr>
        <w:t xml:space="preserve"> 由承包人提供，相关费用包含在签约合同价中</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4.2 监理人员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总监理工程师：</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姓    名：</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职    务：</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监理工程师执业资格证书号：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关于监理人的其他约定：</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4.4 商定或确定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在发包人和承包人不能通过协商达成一致意见时，发包人授权监理人对以下事项进行确定：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按通用条款执行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5. 工程质量</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5.1 质量要求</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5.1.1 特殊质量标准和要求：</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（1）本工程质量标准为国家“合格”标准，合同质量目标以承包人投标时承诺的质量目标为</w:t>
      </w:r>
      <w:r>
        <w:rPr>
          <w:rFonts w:hint="eastAsia" w:ascii="宋体" w:hAnsi="宋体" w:eastAsia="宋体" w:cs="Times New Roman"/>
          <w:color w:val="auto"/>
          <w:sz w:val="21"/>
          <w:szCs w:val="21"/>
          <w:highlight w:val="non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（3）外购土质量要求：</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①本项目</w:t>
      </w:r>
      <w:r>
        <w:rPr>
          <w:rFonts w:ascii="宋体" w:hAnsi="宋体" w:eastAsia="宋体" w:cs="Times New Roman"/>
          <w:color w:val="auto"/>
          <w:sz w:val="21"/>
          <w:szCs w:val="21"/>
          <w:highlight w:val="none"/>
        </w:rPr>
        <w:t xml:space="preserve">设计的外购土方由承包人自行购买并运送至项目实施场地，土</w:t>
      </w:r>
      <w:r>
        <w:rPr>
          <w:rFonts w:hint="eastAsia" w:ascii="宋体" w:hAnsi="宋体" w:eastAsia="宋体" w:cs="Times New Roman"/>
          <w:color w:val="auto"/>
          <w:sz w:val="21"/>
          <w:szCs w:val="21"/>
          <w:highlight w:val="none"/>
        </w:rPr>
        <w:t xml:space="preserve">源</w:t>
      </w:r>
      <w:r>
        <w:rPr>
          <w:rFonts w:ascii="宋体" w:hAnsi="宋体" w:eastAsia="宋体" w:cs="Times New Roman"/>
          <w:color w:val="auto"/>
          <w:sz w:val="21"/>
          <w:szCs w:val="21"/>
          <w:highlight w:val="none"/>
        </w:rPr>
        <w:t xml:space="preserve">质量由承包人自行承担，如无法达到</w:t>
      </w:r>
      <w:r>
        <w:rPr>
          <w:rFonts w:hint="eastAsia" w:ascii="宋体" w:hAnsi="宋体" w:eastAsia="宋体" w:cs="Times New Roman"/>
          <w:color w:val="auto"/>
          <w:sz w:val="21"/>
          <w:szCs w:val="21"/>
          <w:highlight w:val="none"/>
        </w:rPr>
        <w:t xml:space="preserve">发包人</w:t>
      </w:r>
      <w:r>
        <w:rPr>
          <w:rFonts w:ascii="宋体" w:hAnsi="宋体" w:eastAsia="宋体" w:cs="Times New Roman"/>
          <w:color w:val="auto"/>
          <w:sz w:val="21"/>
          <w:szCs w:val="21"/>
          <w:highlight w:val="none"/>
        </w:rPr>
        <w:t xml:space="preserve">要求的，发包人有权要求承包人无条件进行更换</w:t>
      </w:r>
      <w:r>
        <w:rPr>
          <w:rFonts w:hint="eastAsia" w:ascii="宋体" w:hAnsi="宋体" w:eastAsia="宋体" w:cs="Times New Roman"/>
          <w:color w:val="auto"/>
          <w:sz w:val="21"/>
          <w:szCs w:val="21"/>
          <w:highlight w:val="none"/>
        </w:rPr>
        <w:t xml:space="preserve">。涉及</w:t>
      </w:r>
      <w:r>
        <w:rPr>
          <w:rFonts w:ascii="宋体" w:hAnsi="宋体" w:eastAsia="宋体" w:cs="Times New Roman"/>
          <w:color w:val="auto"/>
          <w:sz w:val="21"/>
          <w:szCs w:val="21"/>
          <w:highlight w:val="none"/>
        </w:rPr>
        <w:t xml:space="preserve">土方开挖回填的，需</w:t>
      </w:r>
      <w:r>
        <w:rPr>
          <w:rFonts w:hint="eastAsia" w:ascii="宋体" w:hAnsi="宋体" w:eastAsia="宋体" w:cs="Times New Roman"/>
          <w:color w:val="auto"/>
          <w:sz w:val="21"/>
          <w:szCs w:val="21"/>
          <w:highlight w:val="none"/>
        </w:rPr>
        <w:t xml:space="preserve">由跟踪审计（如有）、监理公司、发包人、承包人等共同进行测量确定。</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③该工程施工中未经发包方同意不得在</w:t>
      </w:r>
      <w:r>
        <w:rPr>
          <w:rFonts w:hint="eastAsia" w:ascii="宋体" w:hAnsi="宋体" w:eastAsia="宋体" w:cs="Times New Roman"/>
          <w:color w:val="auto"/>
          <w:sz w:val="21"/>
          <w:szCs w:val="21"/>
          <w:highlight w:val="none"/>
          <w:lang w:eastAsia="zh-CN"/>
        </w:rPr>
        <w:t xml:space="preserve">四明</w:t>
      </w:r>
      <w:r>
        <w:rPr>
          <w:rFonts w:hint="eastAsia" w:ascii="宋体" w:hAnsi="宋体" w:eastAsia="宋体" w:cs="Times New Roman"/>
          <w:color w:val="auto"/>
          <w:sz w:val="21"/>
          <w:szCs w:val="21"/>
          <w:highlight w:val="none"/>
        </w:rPr>
        <w:t xml:space="preserve">镇境内取土，严禁在红线范围内取土。如擅自取土，则按实际取土量的5倍处罚，并恢复原状。承包人进场施工时，有看管施工现场土方等现有资源的义务，凡因承包人看管不力造成国有资源流失的，相关费用由承包人承担。</w:t>
      </w:r>
      <w:r/>
    </w:p>
    <w:p>
      <w:pPr>
        <w:ind w:firstLine="420"/>
        <w:spacing w:line="400" w:lineRule="exac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4</w:t>
      </w: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2</w:t>
      </w:r>
      <w:r>
        <w:rPr>
          <w:rFonts w:hint="eastAsia" w:ascii="宋体" w:hAnsi="宋体" w:eastAsia="宋体" w:cs="Times New Roman"/>
          <w:color w:val="auto"/>
          <w:sz w:val="21"/>
          <w:szCs w:val="21"/>
          <w:highlight w:val="none"/>
        </w:rPr>
        <w:t xml:space="preserve">000元的经济处罚；若发生分部工程验收不符合质量目标要求的，每发生一次接受发包人以每次4000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ascii="宋体" w:hAnsi="宋体" w:eastAsia="宋体" w:cs="Times New Roman"/>
          <w:color w:val="auto"/>
          <w:sz w:val="21"/>
          <w:szCs w:val="21"/>
          <w:highlight w:val="none"/>
        </w:rPr>
        <w:t xml:space="preserve">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2000元处罚，承包人必须在发包人处罚决定后3日内以现金形式交由发包人。</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关于工程奖项的约定：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6. 安全文明施工与环境保护</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6.1 安全文明施工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6.1.1 项目安全生产的达标目标及相应事项的约定：</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 xml:space="preserve">①承包人必须遵守江苏省建设厅及盐城市建设主管部门颁布的《建设工程施工安全管理规定》和《建设工程文明施工管理规定》。</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 xml:space="preserve">④本工程施工期间发生的一切安</w:t>
      </w:r>
      <w:r>
        <w:rPr>
          <w:rFonts w:ascii="宋体" w:hAnsi="宋体" w:eastAsia="宋体" w:cs="Times New Roman"/>
          <w:b/>
          <w:bCs/>
          <w:color w:val="auto"/>
          <w:sz w:val="21"/>
          <w:szCs w:val="21"/>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 xml:space="preserve">⑤施工过程中如遇地下管线、电缆等破坏须及时修复，其修复费用、修复过程中或未及时修复而发生的一切安全责任，均由施工方自行承担。</w:t>
      </w:r>
      <w:r/>
    </w:p>
    <w:p>
      <w:pPr>
        <w:ind w:firstLine="422"/>
        <w:spacing w:line="400" w:lineRule="exact"/>
        <w:rPr>
          <w:rFonts w:ascii="宋体" w:hAnsi="宋体" w:eastAsia="宋体" w:cs="宋体"/>
          <w:b/>
          <w:bCs/>
          <w:color w:val="auto"/>
          <w:sz w:val="21"/>
          <w:szCs w:val="21"/>
          <w:highlight w:val="none"/>
          <w:u w:val="single"/>
        </w:rPr>
      </w:pPr>
      <w:r>
        <w:rPr>
          <w:rFonts w:ascii="宋体" w:hAnsi="宋体" w:eastAsia="宋体" w:cs="Times New Roman"/>
          <w:b/>
          <w:bCs/>
          <w:color w:val="auto"/>
          <w:sz w:val="21"/>
          <w:szCs w:val="21"/>
          <w:highlight w:val="none"/>
          <w:u w:val="single"/>
        </w:rPr>
        <w:t xml:space="preserve">⑥承包人应保障施工现场过往车辆及行人的安全，对安全生产负全责。</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6.1.4 关于治安保卫的特别约定：</w:t>
      </w:r>
      <w:r>
        <w:rPr>
          <w:rFonts w:ascii="宋体" w:hAnsi="宋体" w:eastAsia="宋体" w:cs="Times New Roman"/>
          <w:color w:val="auto"/>
          <w:sz w:val="21"/>
          <w:szCs w:val="21"/>
          <w:highlight w:val="none"/>
          <w:u w:val="single"/>
        </w:rPr>
        <w:t xml:space="preserve">   按通用条款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关于编制施工场地治安管理计划的约定：</w:t>
      </w:r>
      <w:r>
        <w:rPr>
          <w:rFonts w:ascii="宋体" w:hAnsi="宋体" w:eastAsia="宋体" w:cs="Times New Roman"/>
          <w:color w:val="auto"/>
          <w:sz w:val="21"/>
          <w:szCs w:val="21"/>
          <w:highlight w:val="none"/>
          <w:u w:val="single"/>
        </w:rPr>
        <w:t xml:space="preserve">  按通用条款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6.1.5 文明施工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合同当事人对文明施工的要求：</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6.1.5.1</w:t>
      </w:r>
      <w:r>
        <w:rPr>
          <w:rFonts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auto"/>
          <w:sz w:val="21"/>
          <w:szCs w:val="21"/>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6.1.5.2</w:t>
      </w:r>
      <w:r>
        <w:rPr>
          <w:rFonts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auto"/>
          <w:sz w:val="21"/>
          <w:szCs w:val="21"/>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eastAsia="宋体" w:cs="Times New Roman"/>
          <w:b/>
          <w:bCs/>
          <w:color w:val="auto"/>
          <w:sz w:val="21"/>
          <w:szCs w:val="21"/>
          <w:highlight w:val="none"/>
          <w:u w:val="single"/>
        </w:rPr>
        <w:t xml:space="preserve">.00</w:t>
      </w:r>
      <w:r>
        <w:rPr>
          <w:rFonts w:hint="eastAsia" w:ascii="宋体" w:hAnsi="宋体" w:eastAsia="宋体" w:cs="Times New Roman"/>
          <w:b/>
          <w:bCs/>
          <w:color w:val="auto"/>
          <w:sz w:val="21"/>
          <w:szCs w:val="21"/>
          <w:highlight w:val="none"/>
          <w:u w:val="single"/>
        </w:rPr>
        <w:t xml:space="preserve">元的罚金。承包人必须遵守江苏省建设厅及盐城市建设主管部门颁布的《建设工程施工安全管理规定》和《建设工程文明施工管理规定》。</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6.1.5.4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6.1.5.5严禁在施工现场焚烧垃圾，如发现一次，可按照合同总价0.2%对承包人处以违约金。进入施工现场的所有施工人员必须带好安全帽，如发现有一人次进入施工现场未带安全帽，发包人则按50元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eastAsia="宋体" w:cs="Times New Roman"/>
          <w:b/>
          <w:bCs/>
          <w:color w:val="auto"/>
          <w:sz w:val="21"/>
          <w:szCs w:val="21"/>
          <w:highlight w:val="none"/>
          <w:u w:val="single"/>
        </w:rPr>
        <w:t xml:space="preserve">/</w:t>
      </w:r>
      <w:r>
        <w:rPr>
          <w:rFonts w:hint="eastAsia" w:ascii="宋体" w:hAnsi="宋体" w:eastAsia="宋体" w:cs="Times New Roman"/>
          <w:b/>
          <w:bCs/>
          <w:color w:val="auto"/>
          <w:sz w:val="21"/>
          <w:szCs w:val="21"/>
          <w:highlight w:val="none"/>
          <w:u w:val="single"/>
        </w:rPr>
        <w:t xml:space="preserve">人次对承包人处以违约金，如一天发现3人以上进入施工现场未带安全帽，发包人则按200元</w:t>
      </w:r>
      <w:r>
        <w:rPr>
          <w:rFonts w:ascii="宋体" w:hAnsi="宋体" w:eastAsia="宋体" w:cs="Times New Roman"/>
          <w:b/>
          <w:bCs/>
          <w:color w:val="auto"/>
          <w:sz w:val="21"/>
          <w:szCs w:val="21"/>
          <w:highlight w:val="none"/>
          <w:u w:val="single"/>
        </w:rPr>
        <w:t xml:space="preserve">/</w:t>
      </w:r>
      <w:r>
        <w:rPr>
          <w:rFonts w:hint="eastAsia" w:ascii="宋体" w:hAnsi="宋体" w:eastAsia="宋体" w:cs="Times New Roman"/>
          <w:b/>
          <w:bCs/>
          <w:color w:val="auto"/>
          <w:sz w:val="21"/>
          <w:szCs w:val="21"/>
          <w:highlight w:val="none"/>
          <w:u w:val="single"/>
        </w:rPr>
        <w:t xml:space="preserve">人次对承包人处以违约金。</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6.1.5.6承包人不得在施工现场发生打架、斗殴、偷窃行为，发生一次，发包人可对承包人处1000元/次违约金。</w:t>
      </w:r>
      <w:r/>
    </w:p>
    <w:p>
      <w:pPr>
        <w:ind w:firstLine="422"/>
        <w:spacing w:line="400" w:lineRule="exact"/>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 xml:space="preserve">6.1.5.7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2"/>
        <w:spacing w:line="400" w:lineRule="exact"/>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u w:val="single"/>
        </w:rPr>
        <w:t xml:space="preserve">6.1.5.8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6.1.6 关于安全文明施工费支付比例和支付期限的约定：本工程安全文明施工费不单独支付，包含在工程款中支付，详见12.4.1约定。</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7. 工期和进度</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7.1 施工组织设计</w:t>
      </w:r>
      <w:r/>
    </w:p>
    <w:p>
      <w:pPr>
        <w:ind w:firstLine="420"/>
        <w:spacing w:line="400" w:lineRule="exact"/>
        <w:rPr>
          <w:rFonts w:ascii="宋体" w:hAnsi="宋体" w:eastAsia="宋体" w:cs="Times New Roman"/>
          <w:b/>
          <w:color w:val="auto"/>
          <w:sz w:val="21"/>
          <w:szCs w:val="21"/>
          <w:highlight w:val="none"/>
        </w:rPr>
      </w:pPr>
      <w:r>
        <w:rPr>
          <w:rFonts w:ascii="宋体" w:hAnsi="宋体" w:eastAsia="宋体" w:cs="Times New Roman"/>
          <w:color w:val="auto"/>
          <w:sz w:val="21"/>
          <w:szCs w:val="21"/>
          <w:highlight w:val="none"/>
        </w:rPr>
        <w:t xml:space="preserve">7.1.1 合同当事人约定的施工组织设计应包括的其他内容：</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7.1.2 施工组织设计的提交和修改</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承包人提交详细施工组织设计的期限的约定：</w:t>
      </w:r>
      <w:r>
        <w:rPr>
          <w:rFonts w:ascii="宋体" w:hAnsi="宋体" w:eastAsia="宋体" w:cs="Times New Roman"/>
          <w:color w:val="auto"/>
          <w:sz w:val="21"/>
          <w:szCs w:val="21"/>
          <w:highlight w:val="none"/>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发包人和监理人在收到详细的施工组织设计后确认或提出修改意见的期限：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 xml:space="preserve">天。</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7.2 施工进度计划</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7.2.2 施工进度计划的修订</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发包人和监理人在收到修订的施工进度计划后确认或提出修改意见的期限：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 xml:space="preserve">天。</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7.3 开工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7.3.1 开工准备</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关于承包人提交工程开工报审表的期限：</w:t>
      </w:r>
      <w:r>
        <w:rPr>
          <w:rFonts w:ascii="宋体" w:hAnsi="宋体" w:eastAsia="宋体" w:cs="Times New Roman"/>
          <w:color w:val="auto"/>
          <w:sz w:val="21"/>
          <w:szCs w:val="21"/>
          <w:highlight w:val="none"/>
          <w:u w:val="single"/>
        </w:rPr>
        <w:t xml:space="preserve">计划开工日期前3天提交开工报审表或开工报告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关于发包人应完成的其他开工准备工作及期限：</w:t>
      </w:r>
      <w:r>
        <w:rPr>
          <w:rFonts w:ascii="宋体" w:hAnsi="宋体" w:eastAsia="宋体" w:cs="Times New Roman"/>
          <w:color w:val="auto"/>
          <w:sz w:val="21"/>
          <w:szCs w:val="21"/>
          <w:highlight w:val="none"/>
          <w:u w:val="single"/>
        </w:rPr>
        <w:t xml:space="preserve">应明确开工前 3 日内，配合承包人将施工所需的水、电接至施工场地；开工前提供工程地质和地下管线资料；办理的施工所需证件、批件；交验水准点与坐标控制点交验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关于承包人应完成的其他开工准备工作及期限：</w:t>
      </w:r>
      <w:r>
        <w:rPr>
          <w:rFonts w:ascii="宋体" w:hAnsi="宋体" w:eastAsia="宋体" w:cs="Times New Roman"/>
          <w:color w:val="auto"/>
          <w:sz w:val="21"/>
          <w:szCs w:val="21"/>
          <w:highlight w:val="none"/>
          <w:u w:val="single"/>
        </w:rPr>
        <w:t xml:space="preserve">开工前必须向发包人和总包单位提供施工进度计划、材料清单、材料进场计划、劳动力计划。</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7.3.2开工通知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因发包人原因造成监理人未能在计划开工日期之日起</w:t>
      </w:r>
      <w:r>
        <w:rPr>
          <w:rFonts w:ascii="宋体" w:hAnsi="宋体" w:eastAsia="宋体" w:cs="Times New Roman"/>
          <w:color w:val="auto"/>
          <w:sz w:val="21"/>
          <w:szCs w:val="21"/>
          <w:highlight w:val="none"/>
          <w:u w:val="single"/>
        </w:rPr>
        <w:t xml:space="preserve"> 30 </w:t>
      </w:r>
      <w:r>
        <w:rPr>
          <w:rFonts w:ascii="宋体" w:hAnsi="宋体" w:eastAsia="宋体" w:cs="Times New Roman"/>
          <w:color w:val="auto"/>
          <w:sz w:val="21"/>
          <w:szCs w:val="21"/>
          <w:highlight w:val="none"/>
        </w:rPr>
        <w:t xml:space="preserve">天内发出开工通知的，承包人有权提出价格调整要求，或者解除合同。</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7.4 测量放线</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7.4.1发包人通过监理人向承包人提供测量基准点、基准线和水准点及其书面资料的期限：</w:t>
      </w:r>
      <w:r>
        <w:rPr>
          <w:rFonts w:ascii="宋体" w:hAnsi="宋体" w:eastAsia="宋体" w:cs="Times New Roman"/>
          <w:color w:val="auto"/>
          <w:sz w:val="21"/>
          <w:szCs w:val="21"/>
          <w:highlight w:val="none"/>
          <w:u w:val="single"/>
        </w:rPr>
        <w:t xml:space="preserve">开工前现场交验</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7.5 工期延误</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7.5.1 因发包人原因导致工期延误</w:t>
      </w:r>
      <w:r/>
    </w:p>
    <w:p>
      <w:pPr>
        <w:ind w:right="-153"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因发包人原因导致工期延误的其他情形</w:t>
      </w:r>
      <w:r/>
    </w:p>
    <w:p>
      <w:pPr>
        <w:ind w:right="-153"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①</w:t>
      </w:r>
      <w:r>
        <w:rPr>
          <w:rFonts w:hint="default" w:ascii="宋体" w:hAnsi="宋体" w:eastAsia="宋体" w:cs="Times New Roman"/>
          <w:color w:val="auto"/>
          <w:sz w:val="21"/>
          <w:szCs w:val="21"/>
          <w:highlight w:val="none"/>
          <w:u w:val="single"/>
          <w:lang w:val="en-US" w:eastAsia="zh-CN" w:bidi="ar-SA"/>
        </w:rPr>
        <w:t xml:space="preserve">一周内非承包方原因停电、停水累计达8小时以上；</w:t>
      </w:r>
      <w:r>
        <w:rPr>
          <w:rFonts w:hint="eastAsia" w:ascii="宋体" w:hAnsi="宋体" w:eastAsia="宋体" w:cs="宋体"/>
          <w:color w:val="auto"/>
          <w:sz w:val="21"/>
          <w:szCs w:val="21"/>
          <w:highlight w:val="none"/>
          <w:u w:val="single"/>
          <w:lang w:val="en-US" w:eastAsia="zh-CN" w:bidi="ar-SA"/>
        </w:rPr>
        <w:t xml:space="preserve">②</w:t>
      </w:r>
      <w:r>
        <w:rPr>
          <w:rFonts w:hint="default" w:ascii="宋体" w:hAnsi="宋体" w:eastAsia="宋体" w:cs="Times New Roman"/>
          <w:color w:val="auto"/>
          <w:sz w:val="21"/>
          <w:szCs w:val="21"/>
          <w:highlight w:val="none"/>
          <w:u w:val="single"/>
          <w:lang w:val="en-US" w:eastAsia="zh-CN" w:bidi="ar-SA"/>
        </w:rPr>
        <w:t xml:space="preserve">发包人未能及时提供施工图纸；</w:t>
      </w:r>
      <w:r>
        <w:rPr>
          <w:rFonts w:hint="eastAsia" w:ascii="宋体" w:hAnsi="宋体" w:eastAsia="宋体" w:cs="宋体"/>
          <w:color w:val="auto"/>
          <w:sz w:val="21"/>
          <w:szCs w:val="21"/>
          <w:highlight w:val="none"/>
          <w:u w:val="single"/>
          <w:lang w:val="en-US" w:eastAsia="zh-CN" w:bidi="ar-SA"/>
        </w:rPr>
        <w:t xml:space="preserve">③</w:t>
      </w:r>
      <w:r>
        <w:rPr>
          <w:rFonts w:hint="default" w:ascii="宋体" w:hAnsi="宋体" w:eastAsia="宋体" w:cs="Times New Roman"/>
          <w:color w:val="auto"/>
          <w:sz w:val="21"/>
          <w:szCs w:val="21"/>
          <w:highlight w:val="none"/>
          <w:u w:val="single"/>
          <w:lang w:val="en-US" w:eastAsia="zh-CN" w:bidi="ar-SA"/>
        </w:rPr>
        <w:t xml:space="preserve">经发包人确认的不可抗力因素；</w:t>
      </w:r>
      <w:r>
        <w:rPr>
          <w:rFonts w:hint="eastAsia" w:ascii="宋体" w:hAnsi="宋体" w:eastAsia="宋体" w:cs="宋体"/>
          <w:color w:val="auto"/>
          <w:sz w:val="21"/>
          <w:szCs w:val="21"/>
          <w:highlight w:val="none"/>
          <w:u w:val="single"/>
          <w:lang w:val="en-US" w:eastAsia="zh-CN" w:bidi="ar-SA"/>
        </w:rPr>
        <w:t xml:space="preserve">④</w:t>
      </w:r>
      <w:r>
        <w:rPr>
          <w:rFonts w:hint="default" w:ascii="宋体" w:hAnsi="宋体" w:eastAsia="宋体" w:cs="Times New Roman"/>
          <w:color w:val="auto"/>
          <w:sz w:val="21"/>
          <w:szCs w:val="21"/>
          <w:highlight w:val="none"/>
          <w:u w:val="single"/>
          <w:lang w:val="en-US" w:eastAsia="zh-CN" w:bidi="ar-SA"/>
        </w:rPr>
        <w:t xml:space="preserve">合同中约定的或发包人同意工期顺延的其他情况。上述情况必须经发包人书面确认。</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7.5.2 因承包人原因导致工期延误</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因承包人原因造成工期延误，逾期竣工违约金的计算方法为：</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接受发包方以每次10000</w:t>
      </w:r>
      <w:r>
        <w:rPr>
          <w:rFonts w:ascii="宋体" w:hAnsi="宋体" w:eastAsia="宋体" w:cs="Times New Roman"/>
          <w:color w:val="auto"/>
          <w:sz w:val="21"/>
          <w:szCs w:val="21"/>
          <w:highlight w:val="none"/>
          <w:u w:val="single"/>
        </w:rPr>
        <w:t xml:space="preserve">.00</w:t>
      </w:r>
      <w:r>
        <w:rPr>
          <w:rFonts w:hint="eastAsia" w:ascii="宋体" w:hAnsi="宋体" w:eastAsia="宋体" w:cs="Times New Roman"/>
          <w:color w:val="auto"/>
          <w:sz w:val="21"/>
          <w:szCs w:val="21"/>
          <w:highlight w:val="none"/>
          <w:u w:val="single"/>
        </w:rPr>
        <w:t xml:space="preserve">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w:t>
      </w:r>
      <w:r>
        <w:rPr>
          <w:rFonts w:ascii="宋体" w:hAnsi="宋体" w:eastAsia="宋体" w:cs="Times New Roman"/>
          <w:color w:val="auto"/>
          <w:sz w:val="21"/>
          <w:szCs w:val="21"/>
          <w:highlight w:val="none"/>
          <w:u w:val="single"/>
        </w:rPr>
        <w:t xml:space="preserve">.00</w:t>
      </w:r>
      <w:r>
        <w:rPr>
          <w:rFonts w:hint="eastAsia" w:ascii="宋体" w:hAnsi="宋体" w:eastAsia="宋体" w:cs="Times New Roman"/>
          <w:color w:val="auto"/>
          <w:sz w:val="21"/>
          <w:szCs w:val="21"/>
          <w:highlight w:val="none"/>
          <w:u w:val="single"/>
        </w:rPr>
        <w:t xml:space="preserve">元的违约金直至施工任务完成达到施工方案和进度计划的要求。</w:t>
      </w:r>
      <w:r/>
    </w:p>
    <w:p>
      <w:pPr>
        <w:ind w:firstLine="420"/>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如承包方拒绝执行上述条款的，建设单位有权清退承包单位，已完工作量按70%结算，同时由此造成的损失均由承包单位承担。</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因承包人原因造成工期延误，逾期竣工违约金的上限：</w:t>
      </w:r>
      <w:r>
        <w:rPr>
          <w:rFonts w:ascii="宋体" w:hAnsi="宋体" w:eastAsia="宋体" w:cs="Times New Roman"/>
          <w:color w:val="auto"/>
          <w:sz w:val="21"/>
          <w:szCs w:val="21"/>
          <w:highlight w:val="none"/>
          <w:u w:val="single"/>
        </w:rPr>
        <w:t xml:space="preserve">不超过签约合同价的10%，超过10%时发包人有权终止合同，扣除承包人的全部履约保证金，并对因承包人延期造成的所有损失进行依法追偿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7.6 不利物质条件</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不利物质条件的其他情形和有关约定：</w:t>
      </w:r>
      <w:r>
        <w:rPr>
          <w:rFonts w:hint="eastAsia" w:ascii="宋体" w:hAnsi="宋体" w:eastAsia="宋体" w:cs="Times New Roman"/>
          <w:color w:val="auto"/>
          <w:sz w:val="21"/>
          <w:szCs w:val="21"/>
          <w:highlight w:val="none"/>
          <w:u w:val="single"/>
        </w:rPr>
        <w:t xml:space="preserve">按照通用条款</w:t>
      </w:r>
      <w:r>
        <w:rPr>
          <w:rFonts w:hint="eastAsia"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7.7 异常恶劣的气候条件</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发包人和承包人同意以下情形视为异常恶劣的气候条件：</w:t>
      </w:r>
      <w:r/>
    </w:p>
    <w:p>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 xml:space="preserve">持续高温：连续三日最高气温35</w:t>
      </w:r>
      <w:r>
        <w:rPr>
          <w:rFonts w:hint="eastAsia" w:ascii="宋体" w:hAnsi="宋体" w:eastAsia="宋体" w:cs="宋体"/>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以上；持续低温：连续三日最低气温-10</w:t>
      </w:r>
      <w:r>
        <w:rPr>
          <w:rFonts w:hint="eastAsia" w:ascii="宋体" w:hAnsi="宋体" w:eastAsia="宋体" w:cs="宋体"/>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以下；</w:t>
      </w:r>
      <w:r/>
    </w:p>
    <w:p>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 xml:space="preserve">大风天气：施工区域日风力在6级以上且持续时间不少于4小时，或阵风大于8级；</w:t>
      </w:r>
      <w:r/>
    </w:p>
    <w:p>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 xml:space="preserve">暴雨天气：日降雨量50mm及以上，或降雨强度大于20mm/h</w:t>
      </w:r>
      <w:r>
        <w:rPr>
          <w:rFonts w:hint="eastAsia" w:ascii="宋体" w:hAnsi="宋体" w:eastAsia="宋体" w:cs="Times New Roman"/>
          <w:color w:val="auto"/>
          <w:sz w:val="21"/>
          <w:szCs w:val="21"/>
          <w:highlight w:val="none"/>
          <w:u w:val="single"/>
        </w:rPr>
        <w:t xml:space="preserve">；以上须提供气象部门的证明。</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7.9 提前竣工的奖励</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7.9.2提前竣工的奖励：</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8. 材料与设备</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8.4 材料与工程设备的保管与使用</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8.4.1发包人供应的材料设备的保管费用的承担：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（1）除招标文件中确定的《</w:t>
      </w:r>
      <w:r>
        <w:rPr>
          <w:rFonts w:hint="eastAsia" w:ascii="宋体" w:hAnsi="宋体" w:eastAsia="宋体" w:cs="Times New Roman"/>
          <w:color w:val="auto"/>
          <w:sz w:val="21"/>
          <w:szCs w:val="21"/>
          <w:highlight w:val="none"/>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（3）如在施工过程中</w:t>
      </w:r>
      <w:r>
        <w:rPr>
          <w:rFonts w:hint="eastAsia" w:ascii="宋体" w:hAnsi="宋体" w:eastAsia="宋体" w:cs="Times New Roman"/>
          <w:color w:val="auto"/>
          <w:sz w:val="21"/>
          <w:szCs w:val="21"/>
          <w:highlight w:val="none"/>
          <w:u w:val="single"/>
        </w:rPr>
        <w:t xml:space="preserve">监管人员（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4）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8.6 样品</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8.6.1 样品的报送与封存</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需要承包人报送样品的材料或工程设备，样品的种类、名称、规格、数量要求：</w:t>
      </w:r>
      <w:r>
        <w:rPr>
          <w:rFonts w:ascii="宋体" w:hAnsi="宋体" w:eastAsia="宋体" w:cs="Times New Roman"/>
          <w:color w:val="auto"/>
          <w:sz w:val="21"/>
          <w:szCs w:val="21"/>
          <w:highlight w:val="none"/>
          <w:u w:val="single"/>
        </w:rPr>
        <w:t xml:space="preserve">按招标文件执行</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8.8 施工设备和临时设施</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8.8.1 承包人提供的施工设备和临时设施</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关于修建临时设施费用承担的约定：</w:t>
      </w:r>
      <w:r>
        <w:rPr>
          <w:rFonts w:hint="eastAsia" w:ascii="宋体" w:hAnsi="宋体" w:eastAsia="宋体" w:cs="Times New Roman"/>
          <w:color w:val="auto"/>
          <w:sz w:val="21"/>
          <w:szCs w:val="21"/>
          <w:highlight w:val="none"/>
          <w:u w:val="single"/>
        </w:rPr>
        <w:t xml:space="preserve">由承包人承担</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9. 试验与检验</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9.1 试验设备与试验人员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9.1.2 试验设备</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施工现场需要配置的试验场所：</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施工现场需要配备的试验设备：</w:t>
      </w:r>
      <w:r>
        <w:rPr>
          <w:rFonts w:hint="eastAsia" w:ascii="宋体" w:hAnsi="宋体" w:eastAsia="宋体" w:cs="Times New Roman"/>
          <w:color w:val="auto"/>
          <w:sz w:val="21"/>
          <w:szCs w:val="21"/>
          <w:highlight w:val="none"/>
          <w:u w:val="single"/>
        </w:rPr>
        <w:t xml:space="preserve">按照通用条款</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施工现场需要具备的其他试验条件：</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9.4 现场工艺试验 </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现场工艺试验的有关约定：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5.3 隐蔽工程检查</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5.3.2 承包人提前通知监理人隐蔽工程检查的期限的约定：</w:t>
      </w:r>
      <w:r>
        <w:rPr>
          <w:rFonts w:ascii="宋体" w:hAnsi="宋体" w:eastAsia="宋体" w:cs="Times New Roman"/>
          <w:color w:val="auto"/>
          <w:sz w:val="21"/>
          <w:szCs w:val="21"/>
          <w:highlight w:val="none"/>
          <w:u w:val="single"/>
        </w:rPr>
        <w:t xml:space="preserve">  按监理交底执行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监理人不能按时进行检查时，应提前</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小时提交书面延期要求。</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关于延期最长不得超过：</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小时。</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10. 变更</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10.1 变更的范围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关于变更的范围的约定：</w:t>
      </w:r>
      <w:r>
        <w:rPr>
          <w:rFonts w:hint="eastAsia" w:ascii="宋体" w:hAnsi="宋体" w:eastAsia="宋体" w:cs="Times New Roman"/>
          <w:color w:val="auto"/>
          <w:sz w:val="21"/>
          <w:szCs w:val="21"/>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10.4 变更估价</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10.4.1 变更估价原则</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关于变更估价的约定：</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2) 签证的时限要求。施工中发生的应由发包人承担责任的设计变更及其他变更，承包人应在发生后 3 天内办理好签证手续报监理单位和发包人签证认可。</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3) 由于承包人原因导致的工程变更，承包人无权要求签证赔偿。</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4) 签证单的签证程序必须严格按照发包人规定执行，否则，视为无效签证单。无效签证单发包人不予承认，责任由承包人自负。</w:t>
      </w:r>
      <w:r/>
    </w:p>
    <w:p>
      <w:pPr>
        <w:ind w:firstLine="411"/>
        <w:spacing w:line="400" w:lineRule="exact"/>
        <w:tabs>
          <w:tab w:val="left" w:pos="900" w:leader="none"/>
        </w:tabs>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5) 若发包人有明确的工作指令，承包人不应以工程签证未办理完成为借口，延误工作进展。</w:t>
      </w:r>
      <w:r/>
    </w:p>
    <w:p>
      <w:pPr>
        <w:ind w:firstLine="420"/>
        <w:spacing w:line="400" w:lineRule="exact"/>
        <w:rPr>
          <w:rFonts w:ascii="宋体" w:hAnsi="宋体" w:eastAsia="宋体" w:cs="Times New Roman"/>
          <w:bCs/>
          <w:color w:val="auto"/>
          <w:sz w:val="21"/>
          <w:szCs w:val="21"/>
          <w:highlight w:val="none"/>
        </w:rPr>
      </w:pPr>
      <w:r>
        <w:rPr>
          <w:rFonts w:ascii="宋体" w:hAnsi="宋体" w:eastAsia="宋体" w:cs="Times New Roman"/>
          <w:color w:val="auto"/>
          <w:sz w:val="21"/>
          <w:szCs w:val="21"/>
          <w:highlight w:val="none"/>
          <w:u w:val="single"/>
        </w:rPr>
        <w:t xml:space="preserve">关于变更估价的约定</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承包人必须无条件服从发包人对工程的设计变更，不得以因发包人设计变更减少了工程利润为由要挟发包人追加其它费用。设计变更</w:t>
      </w:r>
      <w:r>
        <w:rPr>
          <w:rFonts w:ascii="宋体" w:hAnsi="宋体" w:eastAsia="宋体" w:cs="Times New Roman"/>
          <w:bCs/>
          <w:color w:val="auto"/>
          <w:sz w:val="21"/>
          <w:szCs w:val="21"/>
          <w:highlight w:val="none"/>
          <w:u w:val="single"/>
        </w:rPr>
        <w:t xml:space="preserve">按发包人书面签证确认为准</w:t>
      </w:r>
      <w:r>
        <w:rPr>
          <w:rFonts w:ascii="宋体" w:hAnsi="宋体" w:eastAsia="宋体" w:cs="Times New Roman"/>
          <w:bCs/>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10.5 承包人的合理化建议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监理人审查承包人合理化建议的期限：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 xml:space="preserve">天。</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发包人审批承包人合理化建议的期限：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 xml:space="preserve">天。</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承包人提出的合理化建议降低了合同价格或者提高了工程经济效益的奖励的方法和金额为：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10.7 暂估价</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暂估价材料和工程设备的明细详见附件11：《暂估价一览表》。</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10.7.1 依法必须招标的暂估价项目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对于依法必须招标的暂估价项目的确认和批准采取第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种方式确定。（由招标人选用，并明确暂估价材料、专业工程暂估价的结算方法）</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10.7.2 不属于依法必须招标的暂估价项目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对于不属于依法必须招标的暂估价项目的确认和批准采取第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种方式确定。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第3种方式：承包人直接实施的暂估价项目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承包人直接实施的暂估价项目的约定：</w:t>
      </w:r>
      <w:r>
        <w:rPr>
          <w:rFonts w:ascii="宋体" w:hAnsi="宋体" w:eastAsia="宋体" w:cs="Times New Roman"/>
          <w:color w:val="auto"/>
          <w:sz w:val="21"/>
          <w:szCs w:val="21"/>
          <w:highlight w:val="none"/>
          <w:u w:val="single"/>
        </w:rPr>
        <w:t xml:space="preserve">与本工程合同条件一致</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10.8 暂列金额</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合同当事人关于暂列金额使用的约定：</w:t>
      </w:r>
      <w:r>
        <w:rPr>
          <w:rFonts w:hint="eastAsia" w:ascii="宋体" w:hAnsi="宋体" w:eastAsia="宋体" w:cs="Times New Roman"/>
          <w:color w:val="auto"/>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11. 价格调整</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11.1 市场价格波动引起的调整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市场价格波动是否调整合同价格的约定：</w:t>
      </w:r>
      <w:r>
        <w:rPr>
          <w:rFonts w:ascii="宋体" w:hAnsi="宋体" w:eastAsia="宋体" w:cs="Times New Roman"/>
          <w:color w:val="auto"/>
          <w:sz w:val="21"/>
          <w:szCs w:val="21"/>
          <w:highlight w:val="none"/>
          <w:u w:val="single"/>
        </w:rPr>
        <w:t xml:space="preserve">不调整</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因市场价格波动调整合同价格，采用以下第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种方式对合同价格进行调整：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第1种方式：采用价格指数进行价格调整。</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关于各可调因子、定值和变值权重，以及基本价格指数及其来源的约定：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第2种方式：采用造价信息进行价格调整。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（2）关于基准价格的约定：</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专用合同条款</w:t>
      </w:r>
      <w:r>
        <w:rPr>
          <w:rFonts w:hint="eastAsia" w:ascii="宋体" w:hAnsi="宋体" w:eastAsia="宋体" w:cs="宋体"/>
          <w:color w:val="auto"/>
          <w:sz w:val="21"/>
          <w:szCs w:val="21"/>
          <w:highlight w:val="none"/>
        </w:rPr>
        <w:t xml:space="preserve">①</w:t>
      </w:r>
      <w:r>
        <w:rPr>
          <w:rFonts w:ascii="宋体" w:hAnsi="宋体" w:eastAsia="宋体" w:cs="Times New Roman"/>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%时，或材料单价跌幅以已标价工程量清单或预算书中载明材料单价为基础超过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%时，其超过部分据实调整。</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②</w:t>
      </w:r>
      <w:r>
        <w:rPr>
          <w:rFonts w:ascii="宋体" w:hAnsi="宋体" w:eastAsia="宋体" w:cs="Times New Roman"/>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%时，材料单价涨幅以已标价工程量清单或预算书中载明材料单价为基础超过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%时，其超过部分据实调整。</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③</w:t>
      </w:r>
      <w:r>
        <w:rPr>
          <w:rFonts w:ascii="宋体" w:hAnsi="宋体" w:eastAsia="宋体" w:cs="Times New Roman"/>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%时，其超过部分据实调整。</w:t>
      </w:r>
      <w:r/>
    </w:p>
    <w:p>
      <w:pPr>
        <w:ind w:firstLine="420"/>
        <w:spacing w:line="400" w:lineRule="exact"/>
        <w:tabs>
          <w:tab w:val="left" w:pos="790" w:leader="none"/>
        </w:tabs>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第3种方式：其他价格调整方式：</w:t>
      </w:r>
      <w:r>
        <w:rPr>
          <w:rFonts w:ascii="宋体" w:hAnsi="宋体" w:eastAsia="宋体" w:cs="Times New Roman"/>
          <w:color w:val="auto"/>
          <w:sz w:val="21"/>
          <w:szCs w:val="21"/>
          <w:highlight w:val="none"/>
          <w:u w:val="single"/>
        </w:rPr>
        <w:t xml:space="preserve">   /   </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12. 合同价格、计量与支付</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12.1 合同价格形式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1、单价合同。</w:t>
      </w:r>
      <w:r/>
    </w:p>
    <w:p>
      <w:pPr>
        <w:ind w:firstLine="422"/>
        <w:spacing w:line="400" w:lineRule="exact"/>
        <w:rPr>
          <w:rFonts w:hint="eastAsia"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rPr>
        <w:t xml:space="preserve">固定单价包含的风险范围：</w:t>
      </w:r>
      <w:r>
        <w:rPr>
          <w:rFonts w:ascii="宋体" w:hAnsi="宋体" w:eastAsia="宋体" w:cs="Times New Roman"/>
          <w:b/>
          <w:bCs/>
          <w:color w:val="auto"/>
          <w:sz w:val="21"/>
          <w:szCs w:val="21"/>
          <w:highlight w:val="none"/>
          <w:u w:val="single"/>
        </w:rPr>
        <w:t xml:space="preserve">施工期间各类建材的价格风险；国家政策性调整风险系数；发包人对工期、质量等的要求。</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风险费用的计算方法：</w:t>
      </w:r>
      <w:r>
        <w:rPr>
          <w:rFonts w:hint="eastAsia" w:ascii="宋体" w:hAnsi="宋体" w:eastAsia="宋体" w:cs="Times New Roman"/>
          <w:color w:val="auto"/>
          <w:sz w:val="21"/>
          <w:szCs w:val="21"/>
          <w:highlight w:val="none"/>
          <w:u w:val="single"/>
        </w:rPr>
        <w:t xml:space="preserve">按招标文件约定</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风险范围以外合同价格的调整方法：</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双方约定执行。</w:t>
      </w:r>
      <w:r/>
    </w:p>
    <w:p>
      <w:pPr>
        <w:ind w:firstLine="420"/>
        <w:spacing w:line="400" w:lineRule="exact"/>
        <w:rPr>
          <w:rFonts w:ascii="宋体" w:hAnsi="宋体" w:eastAsia="宋体" w:cs="Times New Roman"/>
          <w:b/>
          <w:bCs/>
          <w:color w:val="auto"/>
          <w:sz w:val="21"/>
          <w:szCs w:val="21"/>
          <w:highlight w:val="none"/>
        </w:rPr>
      </w:pPr>
      <w:r>
        <w:rPr>
          <w:rFonts w:ascii="宋体" w:hAnsi="宋体" w:eastAsia="宋体" w:cs="Times New Roman"/>
          <w:color w:val="auto"/>
          <w:sz w:val="21"/>
          <w:szCs w:val="21"/>
          <w:highlight w:val="none"/>
        </w:rPr>
        <w:t xml:space="preserve">（1）本工程采用“</w:t>
      </w:r>
      <w:r>
        <w:rPr>
          <w:rFonts w:ascii="宋体" w:hAnsi="宋体" w:eastAsia="宋体" w:cs="Times New Roman"/>
          <w:b/>
          <w:color w:val="auto"/>
          <w:sz w:val="21"/>
          <w:szCs w:val="21"/>
          <w:highlight w:val="none"/>
        </w:rPr>
        <w:t xml:space="preserve">固定单价</w:t>
      </w:r>
      <w:r>
        <w:rPr>
          <w:rFonts w:ascii="宋体" w:hAnsi="宋体" w:eastAsia="宋体" w:cs="Times New Roman"/>
          <w:color w:val="auto"/>
          <w:sz w:val="21"/>
          <w:szCs w:val="21"/>
          <w:highlight w:val="none"/>
        </w:rPr>
        <w:t xml:space="preserve">”合同，</w:t>
      </w:r>
      <w:r>
        <w:rPr>
          <w:rFonts w:ascii="宋体" w:hAnsi="宋体" w:eastAsia="宋体" w:cs="Times New Roman"/>
          <w:b/>
          <w:bCs/>
          <w:color w:val="auto"/>
          <w:sz w:val="21"/>
          <w:szCs w:val="21"/>
          <w:highlight w:val="none"/>
        </w:rPr>
        <w:t xml:space="preserve">合同实施过程中除招标文件和合同约定允许调整外，其余的综合单价不作调整。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（2）工程结算方式为：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工程程竣工结算价=分部分项工程费用（实际数量*中标综合单价）+措施项目费用+其他项目费用+规费+税金+招标文件和合同约定可以调整的价格。</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上式中招标文件及合同约定调整的价格包括但不限于以下情况：</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2）招标人签证使用的暂列金额、专业工程实际发包价。</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3）经招标人认可的《专业工程暂估价及结算价表》（如有）中的材料价格调整。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中标下浮率计算公式如下：</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firstLine="2205"/>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投标报价（扣除预算价中暂列金额、材料暂估价总价、</w:t>
      </w:r>
      <w:r/>
    </w:p>
    <w:p>
      <w:pPr>
        <w:ind w:firstLine="168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专业工程暂估价、发包人供应材料总价及其以上项目的规费和税金）</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下浮率＝1－  ———————————————————————————  ×100%</w:t>
      </w:r>
      <w:r/>
    </w:p>
    <w:p>
      <w:pPr>
        <w:ind w:firstLine="2205"/>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预算价（扣除预算价中暂列金额、材料暂估价总价、</w:t>
      </w:r>
      <w:r/>
    </w:p>
    <w:p>
      <w:pPr>
        <w:ind w:firstLine="168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专业工程暂估价、发包人供应材料总价及其以上项目的规费和税金）</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注：上式中暂估材料总价、发包人供应材料总价以招标人公布的为准。</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5）由于非中标人原因的工程</w:t>
      </w:r>
      <w:r>
        <w:rPr>
          <w:rFonts w:ascii="宋体" w:hAnsi="宋体" w:eastAsia="宋体" w:cs="Times New Roman"/>
          <w:color w:val="auto"/>
          <w:sz w:val="21"/>
          <w:szCs w:val="21"/>
          <w:highlight w:val="none"/>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以上关于合同定价与结算方式条款中未尽事宜由双方依据《建设工程工程量清单计价规范》（GB 50500-2013）以及相关配套文件中关于工程价款调整与结算的内容进行协商，并在合同中具体约定。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（3）施工期间其余所有材料价格风险均由承包人承担，结算时发包人不再调整本工程其余所用材料的价格。</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（4）除因图纸设计变更、增加拆除项目时发包人予以现场签证外，不予调整。</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（5）竣工结算时，若承包人完成了发包人所要求的且为合同以外的零星工作，或发生非承包人责任事件的工程量，按现场实际完成的工程量经发包人签证确定。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（6）工程竣工结算时，《其他项目清单与计价汇总表》中的暂列金额和暂估价均按发包人签证认可的价格执行，而且只调整此材料的价差和对应的规费及税金。</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2、总价合同。</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总价包含的风险范围：</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风险费用的计算方法：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风险范围以外合同价格的调整方法：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3、其他价格方式：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12.2 预付款</w:t>
      </w:r>
      <w:r/>
    </w:p>
    <w:p>
      <w:pPr>
        <w:ind w:firstLine="210"/>
        <w:spacing w:before="60" w:after="60" w:line="400" w:lineRule="exact"/>
        <w:rPr>
          <w:rFonts w:ascii="宋体" w:hAnsi="宋体" w:eastAsia="宋体" w:cs="Times New Roman"/>
          <w:color w:val="auto"/>
          <w:sz w:val="21"/>
          <w:szCs w:val="21"/>
          <w:highlight w:val="none"/>
        </w:rPr>
        <w:outlineLvl w:val="3"/>
      </w:pPr>
      <w:r>
        <w:rPr>
          <w:rFonts w:ascii="宋体" w:hAnsi="宋体" w:eastAsia="宋体" w:cs="Times New Roman"/>
          <w:color w:val="auto"/>
          <w:sz w:val="21"/>
          <w:szCs w:val="21"/>
          <w:highlight w:val="none"/>
        </w:rPr>
        <w:t xml:space="preserve">12.2.1 预付款的支付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预付款支付比例或金额：</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预付款支付期限：</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预付款扣回的方式：</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12.2.2 预付款担保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承包人提交预付款担保的期限：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预付款担保的形式为：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12.3 计量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12.3.1 计量原则</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工程量计算规则：</w:t>
      </w:r>
      <w:r>
        <w:rPr>
          <w:rFonts w:ascii="宋体" w:hAnsi="宋体" w:eastAsia="宋体" w:cs="Times New Roman"/>
          <w:color w:val="auto"/>
          <w:sz w:val="21"/>
          <w:szCs w:val="21"/>
          <w:highlight w:val="none"/>
          <w:u w:val="single"/>
        </w:rPr>
        <w:t xml:space="preserve">  以相关的国家标准、行业标准为依据。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12.3.2 计量周期</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关于计量周期的约定：</w:t>
      </w:r>
      <w:r>
        <w:rPr>
          <w:rFonts w:hint="eastAsia" w:ascii="宋体" w:hAnsi="宋体" w:eastAsia="宋体" w:cs="Times New Roman"/>
          <w:color w:val="auto"/>
          <w:sz w:val="21"/>
          <w:szCs w:val="21"/>
          <w:highlight w:val="none"/>
          <w:u w:val="single"/>
        </w:rPr>
        <w:t xml:space="preserve">按通用条款执行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12.3.3 单价合同的计量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关于单价合同计量的约定：</w:t>
      </w:r>
      <w:r>
        <w:rPr>
          <w:rFonts w:hint="eastAsia" w:ascii="宋体" w:hAnsi="宋体" w:eastAsia="宋体" w:cs="Times New Roman"/>
          <w:color w:val="auto"/>
          <w:sz w:val="21"/>
          <w:szCs w:val="21"/>
          <w:highlight w:val="none"/>
          <w:u w:val="single"/>
        </w:rPr>
        <w:t xml:space="preserve">按通用条款执行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12.3.4 总价合同的计量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关于总价合同计量的约定：</w:t>
      </w:r>
      <w:r>
        <w:rPr>
          <w:rFonts w:hint="eastAsia" w:ascii="宋体" w:hAnsi="宋体" w:eastAsia="宋体" w:cs="Times New Roman"/>
          <w:color w:val="auto"/>
          <w:sz w:val="21"/>
          <w:szCs w:val="21"/>
          <w:highlight w:val="none"/>
          <w:u w:val="single"/>
        </w:rPr>
        <w:t xml:space="preserve">按通用条款执行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Times New Roman"/>
          <w:color w:val="auto"/>
          <w:sz w:val="21"/>
          <w:szCs w:val="21"/>
          <w:highlight w:val="none"/>
          <w:u w:val="single"/>
        </w:rPr>
        <w:t xml:space="preserve">按通用条款执行</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12.3.6 其他价格形式合同的计量</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其他价格形式的计量方式和程序：</w:t>
      </w:r>
      <w:r>
        <w:rPr>
          <w:rFonts w:hint="eastAsia" w:ascii="宋体" w:hAnsi="宋体" w:eastAsia="宋体" w:cs="Times New Roman"/>
          <w:color w:val="auto"/>
          <w:sz w:val="21"/>
          <w:szCs w:val="21"/>
          <w:highlight w:val="none"/>
          <w:u w:val="single"/>
        </w:rPr>
        <w:t xml:space="preserve">按通用条款执行</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12.4 工程进度款支付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12.4.1 付款周期</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（1）合同签订后10日内采购人向成交供应商预付10%的合同价款，供应商书面明确表示无需预付款或主动要求降低预付款比例的，由双方另行商定；</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（2）工程竣工验收合格后付至中标价的60%（包括以前支付）；</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（3）工程竣工验收合格经审计后付至审计价的80%（包括以前支付）；</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（4）工程竣工验收合格满一年按审计结论结清剩余工程款。</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（5）按以上进度付款，无任何利息补偿。付款时，承包人须开具税务部门认可的税务发票。</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12.4.2 进度付款申请单的编制</w:t>
      </w:r>
      <w:r/>
    </w:p>
    <w:p>
      <w:pPr>
        <w:ind w:firstLine="420"/>
        <w:spacing w:line="400" w:lineRule="exact"/>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 xml:space="preserve">关于进度付款申请单编制的约定：</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12.4.3 进度付款申请单的提交</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（1）单价合同进度付款申请单提交的约定：</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（2）总价合同进度付款申请单提交的约定：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（3）其他价格形式合同进度付款申请单提交的约定：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12.4.4 进度款审核和支付</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（1）监理人审查并报送发包人的期限：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发包人完成审批并签发进度款支付证书的期限：</w:t>
      </w:r>
      <w:r>
        <w:rPr>
          <w:rFonts w:ascii="宋体" w:hAnsi="宋体" w:eastAsia="宋体" w:cs="Times New Roman"/>
          <w:color w:val="auto"/>
          <w:sz w:val="21"/>
          <w:szCs w:val="21"/>
          <w:highlight w:val="none"/>
          <w:u w:val="single"/>
        </w:rPr>
        <w:t xml:space="preserve">       15天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（2）发包人支付进度款的期限：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发包人逾期支付进度款的违约金的计算方式：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12.4.6 支付分解表的编制</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2、总价合同支付分解表的编制与审批：</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3、单价合同的总价项目支付分解表的编制与审批：</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13. 验收和工程试车</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13.1 分部分项工程验收</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13.1.2监理人不能按时进行验收时，应提前</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小时提交书面延期要求。 </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关于延期最长不得超过：</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小时。</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13.2 竣工验收</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13.2.2竣工验收程序</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关于竣工验收程序的约定：</w:t>
      </w:r>
      <w:r/>
    </w:p>
    <w:p>
      <w:pPr>
        <w:ind w:firstLine="420"/>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发包人不按照本项约定组织竣工验收、颁发工程接收证书的违约金的计算方法：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13.2.5移交、接收全部与部分工程</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承包人向发包人移交工程的期限：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发包人未按本合同约定接收全部或部分工程的，违约金的计算方法为：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承包人未按时移交工程的，违约金的计算方法为：</w:t>
      </w:r>
      <w:r>
        <w:rPr>
          <w:rFonts w:ascii="宋体" w:hAnsi="宋体" w:eastAsia="宋体" w:cs="Times New Roman"/>
          <w:color w:val="auto"/>
          <w:sz w:val="21"/>
          <w:szCs w:val="21"/>
          <w:highlight w:val="none"/>
          <w:u w:val="single"/>
        </w:rPr>
        <w:t xml:space="preserve">按每拖延一天向招标人支付合同价千分之二的违约金</w:t>
      </w:r>
      <w:r>
        <w:rPr>
          <w:rFonts w:hint="eastAsia" w:ascii="宋体" w:hAnsi="宋体" w:eastAsia="宋体" w:cs="Times New Roman"/>
          <w:color w:val="auto"/>
          <w:sz w:val="21"/>
          <w:szCs w:val="21"/>
          <w:highlight w:val="none"/>
          <w:u w:val="single"/>
        </w:rPr>
        <w:t xml:space="preserve">，发包人有权进行对现场进行清理，由此发生的费用及给发包人造成的损失由承包人承担。承包人逾期移交工程，还应承担工程照管、成品保护、保管等与工程有关的各项费用和风险。</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13.3 工程试车</w:t>
      </w:r>
      <w:bookmarkStart w:id="263" w:name="_GoBack"/>
      <w:r/>
      <w:bookmarkEnd w:id="263"/>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13.3.1 试车程序</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工程试车内容：</w:t>
      </w:r>
      <w:r>
        <w:rPr>
          <w:rFonts w:ascii="宋体" w:hAnsi="宋体" w:eastAsia="宋体" w:cs="Times New Roman"/>
          <w:color w:val="auto"/>
          <w:sz w:val="21"/>
          <w:szCs w:val="21"/>
          <w:highlight w:val="none"/>
          <w:u w:val="single"/>
        </w:rPr>
        <w:t xml:space="preserve">不涉及</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（1）单机无负荷试车费用由</w:t>
      </w:r>
      <w:r>
        <w:rPr>
          <w:rFonts w:ascii="宋体" w:hAnsi="宋体" w:eastAsia="宋体" w:cs="Times New Roman"/>
          <w:color w:val="auto"/>
          <w:sz w:val="21"/>
          <w:szCs w:val="21"/>
          <w:highlight w:val="none"/>
          <w:u w:val="single"/>
        </w:rPr>
        <w:t xml:space="preserve">    承包人    </w:t>
      </w:r>
      <w:r>
        <w:rPr>
          <w:rFonts w:ascii="宋体" w:hAnsi="宋体" w:eastAsia="宋体" w:cs="Times New Roman"/>
          <w:color w:val="auto"/>
          <w:sz w:val="21"/>
          <w:szCs w:val="21"/>
          <w:highlight w:val="none"/>
        </w:rPr>
        <w:t xml:space="preserve">承担；</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（2）无负荷联动试车费用由</w:t>
      </w:r>
      <w:r>
        <w:rPr>
          <w:rFonts w:ascii="宋体" w:hAnsi="宋体" w:eastAsia="宋体" w:cs="Times New Roman"/>
          <w:color w:val="auto"/>
          <w:sz w:val="21"/>
          <w:szCs w:val="21"/>
          <w:highlight w:val="none"/>
          <w:u w:val="single"/>
        </w:rPr>
        <w:t xml:space="preserve">    承包人    </w:t>
      </w:r>
      <w:r>
        <w:rPr>
          <w:rFonts w:ascii="宋体" w:hAnsi="宋体" w:eastAsia="宋体" w:cs="Times New Roman"/>
          <w:color w:val="auto"/>
          <w:sz w:val="21"/>
          <w:szCs w:val="21"/>
          <w:highlight w:val="none"/>
        </w:rPr>
        <w:t xml:space="preserve">承担。</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13.3.3 投料试车</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关于投料试车相关事项的约定：</w:t>
      </w:r>
      <w:r>
        <w:rPr>
          <w:rFonts w:ascii="宋体" w:hAnsi="宋体" w:eastAsia="宋体" w:cs="Times New Roman"/>
          <w:color w:val="auto"/>
          <w:sz w:val="21"/>
          <w:szCs w:val="21"/>
          <w:highlight w:val="none"/>
          <w:u w:val="single"/>
        </w:rPr>
        <w:t xml:space="preserve">    本工程不涉及投料试车。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13.6 竣工退场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13.6.1 竣工退场</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承包人完成竣工退场的期限：</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1）工程竣工验收前，承包人应完成场地清理（包括建筑物周围的堆积物及红线内的和生活设施的拆除），并将场地清扫干净。</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3）工程移交发包人之前，承包人负责维护。如发包人提前使用，由此造成的损坏所需的维修费用由发包人承担。</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14. 竣工结算</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14.1 竣工结算申请</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承包人提交竣工付款申请单的期限：</w:t>
      </w:r>
      <w:r>
        <w:rPr>
          <w:rFonts w:hint="eastAsia" w:ascii="宋体" w:hAnsi="宋体" w:eastAsia="宋体" w:cs="Times New Roman"/>
          <w:color w:val="auto"/>
          <w:sz w:val="21"/>
          <w:szCs w:val="21"/>
          <w:highlight w:val="none"/>
          <w:u w:val="single"/>
        </w:rPr>
        <w:t xml:space="preserve">单位工程竣工验收合格并办理完毕备案手续后28天内</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竣工付款申请单应包括的内容：</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(1)发包人发出的开工通知单；经发包人工程部确认的竣工验收证明；</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(2)经发包人加盖公章确认后的竣工图纸（含电子版）；</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(3)经发包人加盖公章确认后的变更签证单（原件）和各种奖罚单（如有）；</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(4)经发包人加盖公章确认的工期顺延证明（如发生延误）；</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(5)根据竣工图纸和变更签证计算的工程量计算书和结算报价书（含组价软件电子版、工程量计算式电子版等）。</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承包人必须提交完整的、符合要求的结算资料，并安排专门人员密切配合发包人在规定时间内完成结算核对工作，否则发包人有权推迟结算审核工作，责任由承包人承担。对于在实际竣工后</w:t>
      </w:r>
      <w:r>
        <w:rPr>
          <w:rFonts w:ascii="宋体" w:hAnsi="宋体" w:eastAsia="宋体" w:cs="Times New Roman"/>
          <w:color w:val="auto"/>
          <w:sz w:val="21"/>
          <w:szCs w:val="21"/>
          <w:highlight w:val="none"/>
          <w:u w:val="single"/>
        </w:rPr>
        <w:t xml:space="preserve">28</w:t>
      </w:r>
      <w:r>
        <w:rPr>
          <w:rFonts w:hint="eastAsia" w:ascii="宋体" w:hAnsi="宋体" w:eastAsia="宋体" w:cs="Times New Roman"/>
          <w:color w:val="auto"/>
          <w:sz w:val="21"/>
          <w:szCs w:val="21"/>
          <w:highlight w:val="none"/>
          <w:u w:val="single"/>
        </w:rPr>
        <w:t xml:space="preserve">天内未提交的资料或提交的资料不完整、不符合发包人要求的，视同承包人放弃该部分的结算要求，相应价款作为承包人对发包人的让利</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hint="eastAsia" w:ascii="宋体" w:hAnsi="宋体" w:eastAsia="宋体" w:cs="Times New Roman"/>
          <w:b/>
          <w:color w:val="auto"/>
          <w:sz w:val="21"/>
          <w:szCs w:val="21"/>
          <w:highlight w:val="none"/>
        </w:rPr>
        <w:t xml:space="preserve">14.04</w:t>
      </w:r>
      <w:r>
        <w:rPr>
          <w:rFonts w:ascii="宋体" w:hAnsi="宋体" w:eastAsia="宋体" w:cs="Times New Roman"/>
          <w:b/>
          <w:color w:val="auto"/>
          <w:sz w:val="21"/>
          <w:szCs w:val="21"/>
          <w:highlight w:val="none"/>
        </w:rPr>
        <w:t xml:space="preserve"> 竣工结算审核</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发包人审批竣工付款申请单的期限：</w:t>
      </w:r>
      <w:r>
        <w:rPr>
          <w:rFonts w:ascii="宋体" w:hAnsi="宋体" w:eastAsia="宋体" w:cs="Times New Roman"/>
          <w:color w:val="auto"/>
          <w:sz w:val="21"/>
          <w:szCs w:val="21"/>
          <w:highlight w:val="none"/>
          <w:u w:val="single"/>
        </w:rPr>
        <w:t xml:space="preserve">按财政部、建设部联合颁发的《建设工程价款结算暂行办法》（财建[2004]369号）执行。</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发包人完成竣工付款的期限：</w:t>
      </w:r>
      <w:r>
        <w:rPr>
          <w:rFonts w:hint="eastAsia" w:ascii="宋体" w:hAnsi="宋体" w:eastAsia="宋体" w:cs="Times New Roman"/>
          <w:color w:val="auto"/>
          <w:sz w:val="21"/>
          <w:szCs w:val="21"/>
          <w:highlight w:val="none"/>
          <w:u w:val="single"/>
        </w:rPr>
        <w:t xml:space="preserve">按招标文件约定的工程款支付条款约定付款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关于竣工付款证书异议部分复核的方式和程序：</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14.4 最终结清</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14.4.1 最终结清申请单</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承包人提交最终结清申请单的份数：</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承包人提交最终结算申请单的期限：</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14.4.2 最终结清证书和支付</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（1）发包人完成最终结清申请单的审批并颁发最终结清证书的期限：</w:t>
      </w:r>
      <w:r>
        <w:rPr>
          <w:rFonts w:hint="eastAsia" w:ascii="宋体" w:hAnsi="宋体" w:eastAsia="宋体" w:cs="Times New Roman"/>
          <w:color w:val="auto"/>
          <w:sz w:val="21"/>
          <w:szCs w:val="21"/>
          <w:highlight w:val="none"/>
          <w:u w:val="single"/>
        </w:rPr>
        <w:t xml:space="preserve">按通用条款</w:t>
      </w:r>
      <w:r>
        <w:rPr>
          <w:rFonts w:hint="eastAsia"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（2）发包人完成支付的期限：</w:t>
      </w:r>
      <w:r>
        <w:rPr>
          <w:rFonts w:hint="eastAsia"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15. 缺陷责任期与保修</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15.2 缺陷责任期</w:t>
      </w:r>
      <w:r/>
    </w:p>
    <w:p>
      <w:pPr>
        <w:ind w:firstLine="422"/>
        <w:spacing w:line="400" w:lineRule="exact"/>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rPr>
        <w:t xml:space="preserve">缺陷责任期的具体期限：</w:t>
      </w:r>
      <w:r>
        <w:rPr>
          <w:rFonts w:ascii="宋体" w:hAnsi="宋体" w:eastAsia="宋体" w:cs="Times New Roman"/>
          <w:b/>
          <w:bCs/>
          <w:color w:val="auto"/>
          <w:sz w:val="21"/>
          <w:szCs w:val="21"/>
          <w:highlight w:val="none"/>
          <w:u w:val="single"/>
        </w:rPr>
        <w:t xml:space="preserve">  24个月  </w:t>
      </w:r>
      <w:r>
        <w:rPr>
          <w:rFonts w:ascii="宋体" w:hAnsi="宋体" w:eastAsia="宋体" w:cs="Times New Roman"/>
          <w:b/>
          <w:bCs/>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15.3 质量保证金</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关于是否扣留质量保证金的约定：</w:t>
      </w:r>
      <w:r>
        <w:rPr>
          <w:rFonts w:ascii="宋体" w:hAnsi="宋体" w:eastAsia="宋体" w:cs="Times New Roman"/>
          <w:color w:val="auto"/>
          <w:sz w:val="21"/>
          <w:szCs w:val="21"/>
          <w:highlight w:val="none"/>
          <w:u w:val="single"/>
        </w:rPr>
        <w:t xml:space="preserve">根据工程情况商定</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15.3.1 承包人提供质量保证金的方式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质量保证金采用以下第</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lang w:val="en-US" w:eastAsia="zh-CN"/>
        </w:rPr>
        <w:t xml:space="preserve">1</w:t>
      </w:r>
      <w:r>
        <w:rPr>
          <w:rFonts w:hint="eastAsia" w:ascii="宋体" w:hAnsi="宋体" w:eastAsia="宋体" w:cs="Times New Roman"/>
          <w:color w:val="auto"/>
          <w:sz w:val="21"/>
          <w:szCs w:val="21"/>
          <w:highlight w:val="none"/>
          <w:u w:val="single"/>
          <w:lang w:eastAsia="zh-CN"/>
        </w:rPr>
        <w:t xml:space="preserve">）</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种方式：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（1）质量保证金保函，保证金额为：</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3%工程款</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p>
    <w:p>
      <w:pPr>
        <w:ind w:firstLine="422"/>
        <w:spacing w:line="400" w:lineRule="exact"/>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 xml:space="preserve">（2）</w:t>
      </w:r>
      <w:r>
        <w:rPr>
          <w:rFonts w:ascii="宋体" w:hAnsi="宋体" w:eastAsia="宋体" w:cs="Times New Roman"/>
          <w:b/>
          <w:bCs/>
          <w:color w:val="auto"/>
          <w:sz w:val="21"/>
          <w:szCs w:val="21"/>
          <w:highlight w:val="none"/>
          <w:u w:val="single"/>
        </w:rPr>
        <w:t xml:space="preserve">  3  </w:t>
      </w:r>
      <w:r>
        <w:rPr>
          <w:rFonts w:ascii="宋体" w:hAnsi="宋体" w:eastAsia="宋体" w:cs="Times New Roman"/>
          <w:b/>
          <w:bCs/>
          <w:color w:val="auto"/>
          <w:sz w:val="21"/>
          <w:szCs w:val="21"/>
          <w:highlight w:val="none"/>
        </w:rPr>
        <w:t xml:space="preserve">%的工程款；</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（3）其他方式：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15.3.2 质量保证金的扣留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质量保证金的扣留采取以下第</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 xml:space="preserve">种方式：</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（2）工程竣工结算时一次性扣留质量保证金；</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（3）其他扣留方式：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关于质量保证金的补充约定：</w:t>
      </w:r>
      <w:r>
        <w:rPr>
          <w:rFonts w:ascii="宋体" w:hAnsi="宋体" w:eastAsia="宋体" w:cs="Times New Roman"/>
          <w:color w:val="auto"/>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15.4 保修</w:t>
      </w:r>
      <w:r/>
    </w:p>
    <w:p>
      <w:pPr>
        <w:ind w:firstLine="409"/>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15.4.1 保修责任</w:t>
      </w:r>
      <w:r/>
    </w:p>
    <w:p>
      <w:pPr>
        <w:ind w:firstLine="409"/>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工程保修期为：</w:t>
      </w:r>
      <w:r/>
    </w:p>
    <w:p>
      <w:pPr>
        <w:ind w:firstLine="409"/>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15.4.3 修复通知</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承包人收到保修通知并到达工程现场的合理时间：</w:t>
      </w:r>
      <w:r>
        <w:rPr>
          <w:rFonts w:ascii="宋体" w:hAnsi="宋体" w:eastAsia="宋体" w:cs="Times New Roman"/>
          <w:color w:val="auto"/>
          <w:sz w:val="21"/>
          <w:szCs w:val="21"/>
          <w:highlight w:val="none"/>
          <w:u w:val="single"/>
        </w:rPr>
        <w:t xml:space="preserve"> 7 </w:t>
      </w:r>
      <w:r>
        <w:rPr>
          <w:rFonts w:ascii="宋体" w:hAnsi="宋体" w:eastAsia="宋体" w:cs="Times New Roman"/>
          <w:color w:val="auto"/>
          <w:sz w:val="21"/>
          <w:szCs w:val="21"/>
          <w:highlight w:val="none"/>
        </w:rPr>
        <w:t xml:space="preserve">天。（1、属于保修范围、内容的项目，承包人应当在接到保修通知之日起</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16. 违约</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16.1 发包人违约</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16.1.1发包人违约的情形</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发包人违约的其他情形：</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16.1.2 发包人违约的责任</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发包人违约责任的承担方式和计算方法：</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（1）因发包人原因未能在计划开工日期前7天内下达开工通知的违约责任：</w:t>
      </w:r>
      <w:r>
        <w:rPr>
          <w:rFonts w:ascii="宋体" w:hAnsi="宋体" w:eastAsia="宋体" w:cs="Times New Roman"/>
          <w:color w:val="auto"/>
          <w:sz w:val="21"/>
          <w:szCs w:val="21"/>
          <w:highlight w:val="none"/>
          <w:u w:val="single"/>
        </w:rPr>
        <w:t xml:space="preserve">工期作适当顺延</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（2）因发包人原因未能按合同约定支付合同价款的违约责任：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（3）发包人违反第10.1款〔变更的范围〕第（2）项约定，自行实施被取消的工作或转由他人实施的违约责任：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color w:val="auto"/>
          <w:sz w:val="21"/>
          <w:szCs w:val="21"/>
          <w:highlight w:val="none"/>
          <w:u w:val="single"/>
        </w:rPr>
        <w:t xml:space="preserve">发包人负责整改到位，工期顺延</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（5）因发包人违反合同约定造成暂停施工的违约责任：</w:t>
      </w:r>
      <w:r>
        <w:rPr>
          <w:rFonts w:ascii="宋体" w:hAnsi="宋体" w:eastAsia="宋体" w:cs="Times New Roman"/>
          <w:color w:val="auto"/>
          <w:sz w:val="21"/>
          <w:szCs w:val="21"/>
          <w:highlight w:val="none"/>
          <w:u w:val="single"/>
        </w:rPr>
        <w:t xml:space="preserve">发包人负责整改到位，工期顺延</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（6）发包人无正当理由没有在约定期限内发出复工指示，导致承包人无法复工的违约责任：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（7）其他：</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上述（1）-（7）应作具体明确</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16.1.3 因发包人违约解除合同</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承包人按16.1.1项〔发包人违约的情形〕约定暂停施工满</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天后发包人仍不纠正其违约行为并致使合同目的不能实现的，承包人有权解除合同。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16.2 承包人违约</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16.2.1 承包人违约的情形</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承包人违约的其他情形：</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1）未能按投标文件承诺工期按期交付工程，工程质量不能达到承包人在投标文件中承诺的质量，不服从发包费人安排，接到发包人通知不按时进场等。</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2）承包人同意发包人确定的存在下列情形的视为围标、串标、挂靠、弄虚作假：</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①投标保证金交纳的资金非本公司资金（挂靠人投资），履约保证金（或履约担保非本公司资金）。</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②所有工程款都直接转入投标人投标时的基本帐户，如发现投标人的资金流向出现异常（转入挂靠公司或挂靠人），视为投标人挂靠。</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③投标文件的制作工具、投标文件的编制人员非本公司正式职工等现象。</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ind w:firstLine="420"/>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3）工程竣工验收后且在合同约定付款比利时，施工单位应具备全额支付农民工工资的能力且必须全额付清所有农民工的工资，否则被认为施工单位不具备投标能力和不应参与投标。</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16.2.2承包人违约的责任</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承包人违约责任的承担方式和计算方法：</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1）承包人已进行现场勘察，并将从发包人指定的水、电接口接至施工现场的水、电等材料及施工费用考虑在投标报价中，发包人不再另行支付。</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2）承包人在投标时已充分考虑在施工期间必须设置醒目的交通安全标志、标牌及警示灯，同时保证道路正常通行。</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3）承包人必须到现场进行勘察向发包人了解施工现状，充分考虑本工程施工中可预见或不可预见的情况，各项事宜必须服从发包人安排和管理。</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16.2.3 因承包人违约解除合同</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①</w:t>
      </w:r>
      <w:r>
        <w:rPr>
          <w:rFonts w:ascii="宋体" w:hAnsi="宋体" w:eastAsia="宋体" w:cs="Times New Roman"/>
          <w:color w:val="auto"/>
          <w:sz w:val="21"/>
          <w:szCs w:val="21"/>
          <w:highlight w:val="none"/>
        </w:rPr>
        <w:t xml:space="preserve">不同意本工程合同条件；</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②</w:t>
      </w:r>
      <w:r>
        <w:rPr>
          <w:rFonts w:ascii="宋体" w:hAnsi="宋体" w:eastAsia="宋体" w:cs="Times New Roman"/>
          <w:color w:val="auto"/>
          <w:sz w:val="21"/>
          <w:szCs w:val="21"/>
          <w:highlight w:val="none"/>
        </w:rPr>
        <w:t xml:space="preserve">停工或拖延施工进度或影响施工质量；</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③</w:t>
      </w:r>
      <w:r>
        <w:rPr>
          <w:rFonts w:ascii="宋体" w:hAnsi="宋体" w:eastAsia="宋体" w:cs="Times New Roman"/>
          <w:color w:val="auto"/>
          <w:sz w:val="21"/>
          <w:szCs w:val="21"/>
          <w:highlight w:val="none"/>
        </w:rPr>
        <w:t xml:space="preserve">无正当理由，单方面要挟发包人提高合同价款；</w:t>
      </w:r>
      <w:r/>
    </w:p>
    <w:p>
      <w:pPr>
        <w:ind w:firstLine="420"/>
        <w:spacing w:line="400" w:lineRule="exac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④</w:t>
      </w:r>
      <w:r>
        <w:rPr>
          <w:rFonts w:ascii="宋体" w:hAnsi="宋体" w:eastAsia="宋体" w:cs="Times New Roman"/>
          <w:color w:val="auto"/>
          <w:sz w:val="21"/>
          <w:szCs w:val="21"/>
          <w:highlight w:val="none"/>
        </w:rPr>
        <w:t xml:space="preserve">无正当理由，单方面要挟发包人给予某种补偿。</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发包人继续使用承包人在施工现场的材料、设备、临时工程、承包人文件和由承包人或以其名义编制的其他文件的费用承担方式：</w:t>
      </w:r>
      <w:r>
        <w:rPr>
          <w:rFonts w:ascii="宋体" w:hAnsi="宋体" w:eastAsia="宋体" w:cs="Times New Roman"/>
          <w:color w:val="auto"/>
          <w:sz w:val="21"/>
          <w:szCs w:val="21"/>
          <w:highlight w:val="none"/>
          <w:u w:val="single"/>
        </w:rPr>
        <w:t xml:space="preserve">按通用条款</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17. 不可抗力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17.1 不可抗力的确认</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除通用合同条款约定的不可抗力事件之外，视为不可抗力的其他情形：</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（1）持续高温：连续三日日最高气温 35℃以上；</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（2）持续低温：连续三日日最低气温-10℃以下；</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（3）大风天气：</w:t>
      </w:r>
      <w:r>
        <w:rPr>
          <w:rFonts w:hint="eastAsia" w:ascii="宋体" w:hAnsi="宋体" w:eastAsia="宋体" w:cs="Times New Roman"/>
          <w:color w:val="auto"/>
          <w:spacing w:val="-4"/>
          <w:sz w:val="21"/>
          <w:szCs w:val="21"/>
          <w:highlight w:val="none"/>
          <w:u w:val="single"/>
        </w:rPr>
        <w:t xml:space="preserve">施工区域日风力在 6 级以上且持续时间不少于 4 小时，或阵风大于 8 级；</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（4）暴雨天气：日降雨量 50mm 及以上，或降雨强度大于 20mm/h；</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17.1.3 因不可抗力事件导致的费用及延误的工期由双方按下列方法分别承担：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（1）工程本身的损害、因工程损害导致第三人人员伤亡和财产损失以及运至施工场地用于施工的材料和待安装的设备的损害，由承包人承担；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（2）双方人员伤亡由其所在单位负责，并承担相应费用；</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（3）承包人机械设备损坏及停工损失，由承包人承担；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（4）停工期间，承包人应工程师要求留在施工场地的必要的管理人员及保卫人员的费用由发包人承担；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（5）工程所需清理、修复费用，由发包人承担；</w:t>
      </w:r>
      <w:r/>
    </w:p>
    <w:p>
      <w:pPr>
        <w:ind w:firstLine="420"/>
        <w:spacing w:line="400" w:lineRule="exac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（6）延误的工期相应顺延。</w:t>
      </w:r>
      <w:r/>
    </w:p>
    <w:p>
      <w:pPr>
        <w:ind w:firstLine="420"/>
        <w:spacing w:line="400" w:lineRule="exac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 xml:space="preserve">17.1.4 因合同一方迟延履行合同后发生不可抗力的，不能免除迟延履行方的相应责任。</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17.4 因不可抗力解除合同</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合同解除后，发包人应在商定或确定发包人应支付款项后</w:t>
      </w:r>
      <w:r>
        <w:rPr>
          <w:rFonts w:ascii="宋体" w:hAnsi="宋体" w:eastAsia="宋体" w:cs="Times New Roman"/>
          <w:color w:val="auto"/>
          <w:sz w:val="21"/>
          <w:szCs w:val="21"/>
          <w:highlight w:val="none"/>
          <w:u w:val="single"/>
        </w:rPr>
        <w:t xml:space="preserve"> 30 </w:t>
      </w:r>
      <w:r>
        <w:rPr>
          <w:rFonts w:ascii="宋体" w:hAnsi="宋体" w:eastAsia="宋体" w:cs="Times New Roman"/>
          <w:color w:val="auto"/>
          <w:sz w:val="21"/>
          <w:szCs w:val="21"/>
          <w:highlight w:val="none"/>
        </w:rPr>
        <w:t xml:space="preserve">天内完成款项的支付。</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18. 保险</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18.1 工程保险</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关于工程保险的特别约定：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 </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18.3 其他保险</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关于其他保险的约定：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 </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承包人是否应为其施工设备等办理财产保险：</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18.7 通知义务</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关于变更保险合同时的通知义务的约定：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spacing w:before="120" w:after="120" w:line="400" w:lineRule="exact"/>
        <w:rPr>
          <w:rFonts w:ascii="宋体" w:hAnsi="宋体" w:eastAsia="宋体" w:cs="Times New Roman"/>
          <w:b/>
          <w:color w:val="auto"/>
          <w:sz w:val="21"/>
          <w:szCs w:val="21"/>
          <w:highlight w:val="none"/>
        </w:rPr>
        <w:outlineLvl w:val="2"/>
      </w:pPr>
      <w:r>
        <w:rPr>
          <w:rFonts w:ascii="宋体" w:hAnsi="宋体" w:eastAsia="宋体" w:cs="Times New Roman"/>
          <w:b/>
          <w:color w:val="auto"/>
          <w:sz w:val="21"/>
          <w:szCs w:val="21"/>
          <w:highlight w:val="none"/>
        </w:rPr>
        <w:t xml:space="preserve">20. 争议解决</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20.3 争议评审</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合同当事人是否同意将工程争议提交争议评审小组决定：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20.3.1 争议评审小组的确定</w:t>
      </w:r>
      <w:r/>
    </w:p>
    <w:p>
      <w:pPr>
        <w:ind w:firstLine="420"/>
        <w:spacing w:line="400" w:lineRule="exact"/>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争议评审小组成员的确定：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选定争议评审员的期限：</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争议评审小组成员的报酬承担方式：</w:t>
      </w:r>
      <w:r>
        <w:rPr>
          <w:rFonts w:hint="eastAsia" w:ascii="宋体" w:hAnsi="宋体" w:eastAsia="宋体" w:cs="Times New Roman"/>
          <w:color w:val="auto"/>
          <w:sz w:val="21"/>
          <w:szCs w:val="21"/>
          <w:highlight w:val="none"/>
          <w:u w:val="single"/>
        </w:rPr>
        <w:t xml:space="preserve">按照通用条款按照通用条款</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其他事项的约定：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20.3.2 争议评审小组的决定</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合同当事人关于本项的约定：</w:t>
      </w:r>
      <w:r>
        <w:rPr>
          <w:rFonts w:hint="eastAsia" w:ascii="宋体" w:hAnsi="宋体" w:eastAsia="宋体" w:cs="Times New Roman"/>
          <w:color w:val="auto"/>
          <w:sz w:val="21"/>
          <w:szCs w:val="21"/>
          <w:highlight w:val="none"/>
          <w:u w:val="single"/>
        </w:rPr>
        <w:t xml:space="preserve">按照通用条款</w:t>
      </w:r>
      <w:r>
        <w:rPr>
          <w:rFonts w:ascii="宋体" w:hAnsi="宋体" w:eastAsia="宋体" w:cs="Times New Roman"/>
          <w:color w:val="auto"/>
          <w:sz w:val="21"/>
          <w:szCs w:val="21"/>
          <w:highlight w:val="none"/>
        </w:rPr>
        <w:t xml:space="preserve">。</w:t>
      </w:r>
      <w:r/>
    </w:p>
    <w:p>
      <w:pPr>
        <w:ind w:firstLine="211"/>
        <w:spacing w:before="60" w:after="60" w:line="400" w:lineRule="exact"/>
        <w:rPr>
          <w:rFonts w:ascii="宋体" w:hAnsi="宋体" w:eastAsia="宋体" w:cs="Times New Roman"/>
          <w:b/>
          <w:color w:val="auto"/>
          <w:sz w:val="21"/>
          <w:szCs w:val="21"/>
          <w:highlight w:val="none"/>
        </w:rPr>
        <w:outlineLvl w:val="3"/>
      </w:pPr>
      <w:r>
        <w:rPr>
          <w:rFonts w:ascii="宋体" w:hAnsi="宋体" w:eastAsia="宋体" w:cs="Times New Roman"/>
          <w:b/>
          <w:color w:val="auto"/>
          <w:sz w:val="21"/>
          <w:szCs w:val="21"/>
          <w:highlight w:val="none"/>
        </w:rPr>
        <w:t xml:space="preserve">20.4仲裁或诉讼</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因合同及合同有关事项发生的争议，按下列第</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 xml:space="preserve">种方式解决： </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（1）向</w:t>
      </w:r>
      <w:r>
        <w:rPr>
          <w:rFonts w:ascii="宋体" w:hAnsi="宋体" w:eastAsia="宋体" w:cs="Times New Roman"/>
          <w:color w:val="auto"/>
          <w:sz w:val="21"/>
          <w:szCs w:val="21"/>
          <w:highlight w:val="none"/>
          <w:u w:val="single"/>
        </w:rPr>
        <w:t xml:space="preserve"> 盐城市 </w:t>
      </w:r>
      <w:r>
        <w:rPr>
          <w:rFonts w:ascii="宋体" w:hAnsi="宋体" w:eastAsia="宋体" w:cs="Times New Roman"/>
          <w:color w:val="auto"/>
          <w:sz w:val="21"/>
          <w:szCs w:val="21"/>
          <w:highlight w:val="none"/>
        </w:rPr>
        <w:t xml:space="preserve">仲裁委员会申请仲裁；</w:t>
      </w:r>
      <w:r/>
    </w:p>
    <w:p>
      <w:pPr>
        <w:ind w:firstLine="420"/>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（2）向</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工程所在地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人民法院起诉。</w:t>
      </w:r>
      <w:r/>
    </w:p>
    <w:p>
      <w:pPr>
        <w:ind w:firstLine="147"/>
        <w:jc w:val="both"/>
        <w:keepLines/>
        <w:keepNext/>
        <w:spacing w:before="260" w:after="260" w:line="416"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147"/>
        <w:jc w:val="both"/>
        <w:keepLines/>
        <w:keepNext/>
        <w:spacing w:before="260" w:after="260" w:line="416"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附件</w:t>
      </w:r>
      <w:bookmarkEnd w:id="158"/>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附件8：履约担保格式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附件9：预付款担保格式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附件10：支付担保格式</w:t>
      </w:r>
      <w:r/>
    </w:p>
    <w:p>
      <w:pPr>
        <w:jc w:val="left"/>
        <w:spacing w:line="360" w:lineRule="auto"/>
        <w:rPr>
          <w:rFonts w:hint="eastAsia" w:ascii="宋体" w:hAnsi="宋体" w:eastAsia="宋体" w:cs="宋体"/>
          <w:color w:val="auto"/>
          <w:sz w:val="24"/>
          <w:szCs w:val="24"/>
          <w:highlight w:val="none"/>
        </w:rPr>
        <w:sectPr>
          <w:footerReference w:type="default" r:id="rId15"/>
          <w:footerReference w:type="first" r:id="rId16"/>
          <w:footnotePr/>
          <w:endnotePr/>
          <w:type w:val="nextPage"/>
          <w:pgSz w:w="11906" w:h="16838" w:orient="portrait"/>
          <w:pgMar w:top="1418" w:right="1555" w:bottom="1418" w:left="1531" w:header="851" w:footer="992" w:gutter="0"/>
          <w:pgNumType w:start="22"/>
          <w:cols w:num="1" w:sep="0" w:space="1701" w:equalWidth="1"/>
          <w:docGrid w:linePitch="360"/>
          <w:titlePg/>
        </w:sectPr>
      </w:pPr>
      <w:r>
        <w:rPr>
          <w:rFonts w:hint="eastAsia" w:ascii="宋体" w:hAnsi="宋体" w:eastAsia="宋体" w:cs="宋体"/>
          <w:color w:val="auto"/>
          <w:sz w:val="24"/>
          <w:szCs w:val="24"/>
          <w:highlight w:val="none"/>
        </w:rPr>
        <w:t xml:space="preserve">附件11：暂估价一览表</w:t>
      </w:r>
      <w:r/>
    </w:p>
    <w:p>
      <w:pPr>
        <w:jc w:val="left"/>
        <w:spacing w:before="156" w:after="156"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附件1：</w:t>
      </w:r>
      <w:r/>
    </w:p>
    <w:p>
      <w:pPr>
        <w:jc w:val="center"/>
        <w:spacing w:before="156" w:after="156"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承包人承揽工程项目一览表</w:t>
      </w:r>
      <w:r/>
    </w:p>
    <w:tbl>
      <w:tblPr>
        <w:tblStyle w:val="1060"/>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单位工程名称</w:t>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建设规模</w:t>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建筑面积(平方米)</w:t>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结构形式</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层数</w:t>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生产能力</w:t>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设备安装内容</w:t>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合同价格（元）</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开工日期</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竣工日期</w:t>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trHeight w:val="295"/>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bl>
    <w:p>
      <w:pPr>
        <w:spacing w:line="440" w:lineRule="exact"/>
        <w:rPr>
          <w:rFonts w:hint="eastAsia" w:ascii="宋体" w:hAnsi="宋体" w:eastAsia="宋体" w:cs="宋体"/>
          <w:b/>
          <w:color w:val="auto"/>
          <w:sz w:val="30"/>
          <w:szCs w:val="30"/>
          <w:highlight w:val="none"/>
        </w:rPr>
        <w:sectPr>
          <w:footerReference w:type="default" r:id="rId17"/>
          <w:footerReference w:type="first" r:id="rId18"/>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auto"/>
          <w:sz w:val="30"/>
          <w:szCs w:val="30"/>
          <w:highlight w:val="none"/>
        </w:rPr>
      </w:r>
      <w:r/>
    </w:p>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172" w:name="_Toc296891265"/>
      <w:r/>
      <w:bookmarkStart w:id="173" w:name="_Toc296503225"/>
      <w:r/>
      <w:bookmarkStart w:id="174" w:name="_Toc296346726"/>
      <w:r/>
      <w:bookmarkStart w:id="175" w:name="_Toc296944564"/>
      <w:r/>
      <w:bookmarkStart w:id="176" w:name="_Toc267261692"/>
      <w:r/>
      <w:bookmarkStart w:id="177" w:name="_Toc296347224"/>
      <w:r/>
      <w:bookmarkStart w:id="178" w:name="_Toc296891053"/>
      <w:r>
        <w:rPr>
          <w:rFonts w:hint="eastAsia" w:ascii="宋体" w:hAnsi="宋体" w:eastAsia="宋体" w:cs="宋体"/>
          <w:color w:val="auto"/>
          <w:sz w:val="30"/>
          <w:szCs w:val="30"/>
          <w:highlight w:val="none"/>
        </w:rPr>
        <w:t xml:space="preserve">件2：</w:t>
      </w:r>
      <w:bookmarkEnd w:id="172"/>
      <w:r/>
      <w:bookmarkEnd w:id="173"/>
      <w:r/>
      <w:bookmarkEnd w:id="174"/>
      <w:r/>
      <w:bookmarkEnd w:id="175"/>
      <w:r/>
      <w:bookmarkEnd w:id="176"/>
      <w:r/>
      <w:bookmarkEnd w:id="177"/>
      <w:r/>
      <w:bookmarkEnd w:id="178"/>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发包人供应材料设备一览表</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  材料、</w:t>
            </w:r>
            <w:r/>
          </w:p>
          <w:p>
            <w:pPr>
              <w:ind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设备品种</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规格型号</w:t>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单价（元）</w:t>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质量等级</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供应时间</w:t>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送达地点</w:t>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40"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44"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1"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7"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92" w:type="dxa"/>
            <w:vAlign w:val="center"/>
            <w:textDirection w:val="lrTb"/>
            <w:noWrap w:val="false"/>
          </w:tcPr>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40" w:lineRule="exact"/>
        <w:rPr>
          <w:rFonts w:hint="eastAsia" w:ascii="宋体" w:hAnsi="宋体" w:eastAsia="宋体" w:cs="宋体"/>
          <w:color w:val="auto"/>
          <w:sz w:val="28"/>
          <w:szCs w:val="28"/>
          <w:highlight w:val="none"/>
        </w:rPr>
        <w:sectPr>
          <w:footerReference w:type="default" r:id="rId19"/>
          <w:footnotePr/>
          <w:endnotePr/>
          <w:type w:val="nextPage"/>
          <w:pgSz w:w="11906" w:h="16838" w:orient="portrait"/>
          <w:pgMar w:top="1418" w:right="1134" w:bottom="1418" w:left="1134" w:header="851" w:footer="992" w:gutter="0"/>
          <w:cols w:num="1" w:sep="0" w:space="1701" w:equalWidth="1"/>
          <w:docGrid w:linePitch="360"/>
        </w:sectPr>
      </w:pPr>
      <w:r>
        <w:rPr>
          <w:rFonts w:hint="eastAsia" w:ascii="宋体" w:hAnsi="宋体" w:eastAsia="宋体" w:cs="宋体"/>
          <w:color w:val="auto"/>
          <w:sz w:val="28"/>
          <w:szCs w:val="28"/>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w:t>
      </w:r>
      <w:bookmarkStart w:id="179" w:name="_Toc296891266"/>
      <w:r/>
      <w:bookmarkStart w:id="180" w:name="_Toc296891054"/>
      <w:r/>
      <w:bookmarkStart w:id="181" w:name="_Toc296347225"/>
      <w:r/>
      <w:bookmarkStart w:id="182" w:name="_Toc296503226"/>
      <w:r/>
      <w:bookmarkStart w:id="183" w:name="_Toc296346727"/>
      <w:r/>
      <w:bookmarkStart w:id="184" w:name="_Toc267261693"/>
      <w:r/>
      <w:bookmarkStart w:id="185" w:name="_Toc296944565"/>
      <w:r>
        <w:rPr>
          <w:rFonts w:hint="eastAsia" w:ascii="宋体" w:hAnsi="宋体" w:eastAsia="宋体" w:cs="宋体"/>
          <w:color w:val="auto"/>
          <w:sz w:val="28"/>
          <w:szCs w:val="28"/>
          <w:highlight w:val="none"/>
        </w:rPr>
        <w:t xml:space="preserve">件3：</w:t>
      </w:r>
      <w:bookmarkEnd w:id="179"/>
      <w:r/>
      <w:bookmarkEnd w:id="180"/>
      <w:r/>
      <w:bookmarkEnd w:id="181"/>
      <w:r/>
      <w:bookmarkEnd w:id="182"/>
      <w:r/>
      <w:bookmarkEnd w:id="183"/>
      <w:r/>
      <w:bookmarkEnd w:id="184"/>
      <w:r/>
      <w:bookmarkEnd w:id="185"/>
      <w:r>
        <w:rPr>
          <w:rFonts w:hint="eastAsia" w:ascii="宋体" w:hAnsi="宋体" w:eastAsia="宋体" w:cs="宋体"/>
          <w:color w:val="auto"/>
          <w:sz w:val="28"/>
          <w:szCs w:val="28"/>
          <w:highlight w:val="none"/>
        </w:rPr>
        <w:t xml:space="preserve">    </w:t>
      </w:r>
      <w:r/>
    </w:p>
    <w:p>
      <w:pPr>
        <w:jc w:val="center"/>
        <w:spacing w:before="120" w:after="12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根据《建设工程质量管理条例》及有关规定，工程的质量保修期如下：</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1．地基基础工程和主体结构工程为设计文件规定的工程合理使用年限；</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2．屋面防水工程、有防水要求的卫生间、房间和外墙面的防渗为</w:t>
      </w:r>
      <w:r>
        <w:rPr>
          <w:rFonts w:hint="eastAsia" w:ascii="宋体" w:hAnsi="宋体" w:eastAsia="宋体" w:cs="宋体"/>
          <w:b w:val="0"/>
          <w:bCs w:val="0"/>
          <w:color w:val="auto"/>
          <w:sz w:val="24"/>
          <w:szCs w:val="24"/>
          <w:highlight w:val="none"/>
          <w:u w:val="single"/>
          <w:lang w:val="en-US" w:eastAsia="zh-CN"/>
        </w:rPr>
        <w:t xml:space="preserve">5</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3．装修工程为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4．电气管线、给排水管道、设备安装工程为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5．供热与供冷系统为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个采暖期、供冷期；</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6．住宅小区内的给排水设施、道路等配套工程为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7．其他项目保修期限约定如下：</w:t>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质量保修期自工程竣工验收合格之日起计算。</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三、缺陷责任期</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工程缺陷责任期为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24</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四、质量保修责任</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六、双方约定的其他工程质量保修事项：                  </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工程质量保修书由发包人、承包人在工程竣工验收前共同签署，作为施工合同附件，其有效期限至保修期满。</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发包人(公章)：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承包人(公章)：</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  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地  址：</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法定代表人(签字)：</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法定代表人(签字)： </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委托代理人(签字)：</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  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电  话：  </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  真：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传  真： </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开户银行：</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开户银行：</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账  号：</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账  号：</w:t>
      </w:r>
      <w:r>
        <w:rPr>
          <w:rFonts w:hint="eastAsia" w:ascii="宋体" w:hAnsi="宋体" w:eastAsia="宋体" w:cs="宋体"/>
          <w:b w:val="0"/>
          <w:bCs w:val="0"/>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邮政编码：</w:t>
      </w:r>
      <w:r>
        <w:rPr>
          <w:rFonts w:hint="eastAsia" w:ascii="宋体" w:hAnsi="宋体" w:eastAsia="宋体" w:cs="宋体"/>
          <w:b w:val="0"/>
          <w:bCs w:val="0"/>
          <w:color w:val="auto"/>
          <w:sz w:val="24"/>
          <w:szCs w:val="24"/>
          <w:highlight w:val="none"/>
          <w:u w:val="single"/>
        </w:rPr>
        <w:t xml:space="preserve">                   </w:t>
      </w:r>
      <w:r/>
    </w:p>
    <w:p>
      <w:pPr>
        <w:spacing w:line="440" w:lineRule="exact"/>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30"/>
          <w:szCs w:val="30"/>
          <w:highlight w:val="none"/>
        </w:rPr>
        <w:t xml:space="preserve">附件4：</w:t>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文件名称</w:t>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套数</w:t>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费用（元）</w:t>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w:t>
            </w:r>
            <w:r/>
          </w:p>
        </w:tc>
        <w:tc>
          <w:tcPr>
            <w:tcW w:w="1450" w:type="dxa"/>
            <w:vAlign w:val="top"/>
            <w:textDirection w:val="lrTb"/>
            <w:noWrap w:val="false"/>
          </w:tcPr>
          <w:p>
            <w:pPr>
              <w:jc w:val="center"/>
              <w:spacing w:line="440" w:lineRule="exact"/>
              <w:rPr>
                <w:rFonts w:hint="eastAsia"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76"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243"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667"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186" w:name="_Toc296944566"/>
      <w:r/>
      <w:bookmarkStart w:id="187" w:name="_Toc267261698"/>
      <w:r/>
      <w:bookmarkStart w:id="188" w:name="_Toc296347226"/>
      <w:r/>
      <w:bookmarkStart w:id="189" w:name="_Toc296503227"/>
      <w:r/>
      <w:bookmarkStart w:id="190" w:name="_Toc296891055"/>
      <w:r/>
      <w:bookmarkStart w:id="191" w:name="_Toc296346728"/>
      <w:r/>
      <w:bookmarkStart w:id="192" w:name="_Toc296891267"/>
      <w:r>
        <w:rPr>
          <w:rFonts w:hint="eastAsia" w:ascii="宋体" w:hAnsi="宋体" w:eastAsia="宋体" w:cs="宋体"/>
          <w:color w:val="auto"/>
          <w:sz w:val="30"/>
          <w:szCs w:val="30"/>
          <w:highlight w:val="none"/>
        </w:rPr>
        <w:t xml:space="preserve">件5：</w:t>
      </w:r>
      <w:bookmarkEnd w:id="186"/>
      <w:r/>
      <w:bookmarkEnd w:id="187"/>
      <w:r/>
      <w:bookmarkEnd w:id="188"/>
      <w:r/>
      <w:bookmarkEnd w:id="189"/>
      <w:r/>
      <w:bookmarkEnd w:id="190"/>
      <w:r/>
      <w:bookmarkEnd w:id="191"/>
      <w:r/>
      <w:bookmarkEnd w:id="192"/>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机械或设备名称</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规格型号</w:t>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产地</w:t>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制造年份</w:t>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额定功率(kW)</w:t>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生产能力</w:t>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193" w:name="_Toc296503228"/>
      <w:r/>
      <w:bookmarkStart w:id="194" w:name="_Toc296347227"/>
      <w:r/>
      <w:bookmarkStart w:id="195" w:name="_Toc267261699"/>
      <w:r/>
      <w:bookmarkStart w:id="196" w:name="_Toc296346729"/>
      <w:r/>
      <w:bookmarkStart w:id="197" w:name="_Toc296891268"/>
      <w:r/>
      <w:bookmarkStart w:id="198" w:name="_Toc296944567"/>
      <w:r/>
      <w:bookmarkStart w:id="199" w:name="_Toc296891056"/>
      <w:r>
        <w:rPr>
          <w:rFonts w:hint="eastAsia" w:ascii="宋体" w:hAnsi="宋体" w:eastAsia="宋体" w:cs="宋体"/>
          <w:color w:val="auto"/>
          <w:sz w:val="30"/>
          <w:szCs w:val="30"/>
          <w:highlight w:val="none"/>
        </w:rPr>
        <w:t xml:space="preserve">件6：</w:t>
      </w:r>
      <w:bookmarkEnd w:id="193"/>
      <w:r/>
      <w:bookmarkEnd w:id="194"/>
      <w:r/>
      <w:bookmarkEnd w:id="195"/>
      <w:r/>
      <w:bookmarkEnd w:id="196"/>
      <w:r/>
      <w:bookmarkEnd w:id="197"/>
      <w:r/>
      <w:bookmarkEnd w:id="198"/>
      <w:r/>
      <w:bookmarkEnd w:id="199"/>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    称</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姓名</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职务</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职称</w:t>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项目主管</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造价管理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材料管理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计划管理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安全管理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restart"/>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200" w:name="_Toc296891057"/>
      <w:r/>
      <w:bookmarkStart w:id="201" w:name="_Toc296503229"/>
      <w:r/>
      <w:bookmarkStart w:id="202" w:name="_Toc296346730"/>
      <w:r/>
      <w:bookmarkStart w:id="203" w:name="_Toc296944568"/>
      <w:r/>
      <w:bookmarkStart w:id="204" w:name="_Toc296347228"/>
      <w:r/>
      <w:bookmarkStart w:id="205" w:name="_Toc296891269"/>
      <w:r>
        <w:rPr>
          <w:rFonts w:hint="eastAsia" w:ascii="宋体" w:hAnsi="宋体" w:eastAsia="宋体" w:cs="宋体"/>
          <w:color w:val="auto"/>
          <w:sz w:val="30"/>
          <w:szCs w:val="30"/>
          <w:highlight w:val="none"/>
        </w:rPr>
        <w:t xml:space="preserve">件7：</w:t>
      </w:r>
      <w:bookmarkEnd w:id="200"/>
      <w:r/>
      <w:bookmarkEnd w:id="201"/>
      <w:r/>
      <w:bookmarkEnd w:id="202"/>
      <w:r/>
      <w:bookmarkEnd w:id="203"/>
      <w:r/>
      <w:bookmarkEnd w:id="204"/>
      <w:r/>
      <w:bookmarkEnd w:id="205"/>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    称</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姓名</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职务</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职称</w:t>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项目主管</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造价管理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材料管理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计划管理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安全管理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restart"/>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bookmarkStart w:id="206" w:name="_Toc267261701"/>
      <w:r>
        <w:rPr>
          <w:rFonts w:hint="eastAsia" w:ascii="宋体" w:hAnsi="宋体" w:eastAsia="宋体" w:cs="宋体"/>
          <w:color w:val="auto"/>
          <w:sz w:val="30"/>
          <w:szCs w:val="30"/>
          <w:highlight w:val="none"/>
        </w:rPr>
        <w:t xml:space="preserve">附</w:t>
      </w:r>
      <w:bookmarkStart w:id="207" w:name="_Toc296891059"/>
      <w:r/>
      <w:bookmarkStart w:id="208" w:name="_Toc296891271"/>
      <w:r/>
      <w:bookmarkStart w:id="209" w:name="_Toc296346732"/>
      <w:r/>
      <w:bookmarkStart w:id="210" w:name="_Toc296944570"/>
      <w:r/>
      <w:bookmarkStart w:id="211" w:name="_Toc296347230"/>
      <w:r/>
      <w:bookmarkStart w:id="212" w:name="_Toc296503231"/>
      <w:r>
        <w:rPr>
          <w:rFonts w:hint="eastAsia" w:ascii="宋体" w:hAnsi="宋体" w:eastAsia="宋体" w:cs="宋体"/>
          <w:color w:val="auto"/>
          <w:sz w:val="30"/>
          <w:szCs w:val="30"/>
          <w:highlight w:val="none"/>
        </w:rPr>
        <w:t xml:space="preserve">件8：</w:t>
      </w:r>
      <w:bookmarkEnd w:id="206"/>
      <w:r/>
      <w:bookmarkEnd w:id="207"/>
      <w:r/>
      <w:bookmarkEnd w:id="208"/>
      <w:r/>
      <w:bookmarkEnd w:id="209"/>
      <w:r/>
      <w:bookmarkEnd w:id="210"/>
      <w:r/>
      <w:bookmarkEnd w:id="211"/>
      <w:r/>
      <w:bookmarkEnd w:id="212"/>
      <w:r/>
      <w:r/>
    </w:p>
    <w:p>
      <w:pPr>
        <w:jc w:val="center"/>
        <w:spacing w:before="120"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（发包人名称）：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（发包人名称，以下简称“发包人”）与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（承包人名称）（以下称“承包人”）于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担保有效期自你方与承包人签订的合同生效之日起至你方签发或应签发工程接收证书之日止。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你方和承包人按合同约定变更合同时，我方承担本担保规定的义务不变。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仲裁委员会仲裁。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本保函自我方法定代表人（或其授权代理人）签字并加盖公章之日起生效。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 保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1899" w:hanging="151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1899" w:hanging="1899"/>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1899" w:hanging="1899"/>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213" w:name="_Toc296347231"/>
      <w:r/>
      <w:bookmarkStart w:id="214" w:name="_Toc296944571"/>
      <w:r/>
      <w:bookmarkStart w:id="215" w:name="_Toc296891272"/>
      <w:r/>
      <w:bookmarkStart w:id="216" w:name="_Toc296346733"/>
      <w:r/>
      <w:bookmarkStart w:id="217" w:name="_Toc296503232"/>
      <w:r/>
      <w:bookmarkStart w:id="218" w:name="_Toc296891060"/>
      <w:r/>
      <w:bookmarkStart w:id="219" w:name="_Toc267261702"/>
      <w:r>
        <w:rPr>
          <w:rFonts w:hint="eastAsia" w:ascii="宋体" w:hAnsi="宋体" w:eastAsia="宋体" w:cs="宋体"/>
          <w:color w:val="auto"/>
          <w:sz w:val="30"/>
          <w:szCs w:val="30"/>
          <w:highlight w:val="none"/>
        </w:rPr>
        <w:t xml:space="preserve">件9 ：</w:t>
      </w:r>
      <w:bookmarkEnd w:id="213"/>
      <w:r/>
      <w:bookmarkEnd w:id="214"/>
      <w:r/>
      <w:bookmarkEnd w:id="215"/>
      <w:r/>
      <w:bookmarkEnd w:id="216"/>
      <w:r/>
      <w:bookmarkEnd w:id="217"/>
      <w:r/>
      <w:bookmarkEnd w:id="218"/>
      <w:r/>
      <w:bookmarkEnd w:id="219"/>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预付款担保</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 （发包人名称）：</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（承包人名称）（以下称“承包人”）与</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（发包人名称）（以下简称“发包人”）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日签订的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担保金额人民币（大写）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担保有效期自预付款支付给承包人起生效，至你方签发的进度款支付证书说明已完全扣清止。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你方和承包人按合同约定变更合同时，我方承担本保函规定的义务不变。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因本保函发生的纠纷，可由双方协商解决，协商不成的，任何一方均可提请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仲裁委员会仲裁。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本保函自我方法定代表人（或其授权代理人）签字并加盖公章之日起生效。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（盖单位章）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24"/>
          <w:szCs w:val="24"/>
          <w:highlight w:val="none"/>
        </w:rPr>
        <w:t xml:space="preserve">附</w:t>
      </w:r>
      <w:bookmarkStart w:id="220" w:name="_Toc296891061"/>
      <w:r/>
      <w:bookmarkStart w:id="221" w:name="_Toc296944572"/>
      <w:r/>
      <w:bookmarkStart w:id="222" w:name="_Toc296347232"/>
      <w:r/>
      <w:bookmarkStart w:id="223" w:name="_Toc296346734"/>
      <w:r/>
      <w:bookmarkStart w:id="224" w:name="_Toc296503233"/>
      <w:r/>
      <w:bookmarkStart w:id="225" w:name="_Toc296891273"/>
      <w:r>
        <w:rPr>
          <w:rFonts w:hint="eastAsia" w:ascii="宋体" w:hAnsi="宋体" w:eastAsia="宋体" w:cs="宋体"/>
          <w:color w:val="auto"/>
          <w:sz w:val="24"/>
          <w:szCs w:val="24"/>
          <w:highlight w:val="none"/>
        </w:rPr>
        <w:t xml:space="preserve">件10:  </w:t>
      </w:r>
      <w:bookmarkEnd w:id="220"/>
      <w:r/>
      <w:bookmarkEnd w:id="221"/>
      <w:r/>
      <w:bookmarkEnd w:id="222"/>
      <w:r/>
      <w:bookmarkEnd w:id="223"/>
      <w:r/>
      <w:bookmarkEnd w:id="224"/>
      <w:r/>
      <w:bookmarkEnd w:id="225"/>
      <w:r/>
      <w:r/>
    </w:p>
    <w:p>
      <w:pPr>
        <w:jc w:val="center"/>
        <w:keepLines w:val="0"/>
        <w:keepNext w:val="0"/>
        <w:pageBreakBefore w:val="0"/>
        <w:spacing w:before="120" w:after="12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支付担保</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一、保证的范围及保证金额</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我方的保证范围是主合同约定的工程款。</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本保函所称主合同约定的工程款是指主合同约定的除工程质量保证金以外的合同价款。</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二、保证的方式及保证期间</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我方保证的方式为：连带责任保证。</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我方保证的期间为：自本合同生效之日起至主合同约定的工程款支付完毕之日后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你方与发包人协议变更工程款支付日期的，经我方书面同意后，保证期间按照变更后的支付日期做相应调整。</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三、承担保证责任的形式</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我方承担保证责任的形式是代为支付。发包人未按主合同约定向你方支付工程款的，由我方在保证金额内代为支付。</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四、代偿的安排</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我方收到你方的书面索赔通知及相应的证明材料后７天内无条件支付。</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五、保证责任的解除</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在本保函承诺的保证期间内，你方未书面向我方主张保证责任的，自保证期间届满次日起，我方保证责任解除。</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发包人按主合同约定履行了工程款的全部支付义务的，自本保函承诺的保证期间届满次日起，我方保证责任解除。</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按照法律法规的规定或出现应解除我方保证责任的其他情形的，我方在本保函项下的保证责任亦解除。</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个工作日内，将本保函原件返还我方。</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六、免责条款</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因你方违约致使发包人不能履行义务的，我方不承担保证责任。</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依照法律法规的规定或你方与发包人的另行约定，免除发包人部分或全部义务的，我方亦免除其相应的保证责任。</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因不可抗力造成发包人不能履行义务的，我方不承担保证责任。</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七、争议解决</w:t>
      </w:r>
      <w:r/>
    </w:p>
    <w:p>
      <w:pPr>
        <w:ind w:firstLine="480"/>
        <w:keepLines w:val="0"/>
        <w:keepNext w:val="0"/>
        <w:pageBreakBefore w:val="0"/>
        <w:spacing w:after="12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八、保函的生效</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本保函自我方法定代表人（或其授权代理人）签字并加盖公章之日起生效。</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ind w:right="120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right="15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15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440" w:lineRule="exact"/>
        <w:rPr>
          <w:rFonts w:ascii="Times New Roman" w:hAnsi="Times New Roman" w:eastAsia="黑体" w:cs="Times New Roman"/>
          <w:color w:val="auto"/>
          <w:sz w:val="30"/>
          <w:szCs w:val="30"/>
          <w:highlight w:val="none"/>
        </w:rPr>
      </w:pPr>
      <w:r>
        <w:rPr>
          <w:rFonts w:hint="eastAsia" w:ascii="宋体" w:hAnsi="宋体" w:eastAsia="宋体" w:cs="宋体"/>
          <w:color w:val="auto"/>
          <w:sz w:val="30"/>
          <w:szCs w:val="30"/>
          <w:highlight w:val="none"/>
        </w:rPr>
        <w:br w:type="page" w:clear="all"/>
      </w:r>
      <w:r>
        <w:rPr>
          <w:rFonts w:ascii="Times New Roman" w:hAnsi="Times New Roman" w:eastAsia="仿宋_GB2312" w:cs="Times New Roman"/>
          <w:color w:val="auto"/>
          <w:sz w:val="30"/>
          <w:szCs w:val="30"/>
          <w:highlight w:val="none"/>
        </w:rPr>
        <w:t xml:space="preserve">附件11：</w:t>
      </w:r>
      <w:r/>
    </w:p>
    <w:p>
      <w:pP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11-1：材料暂估价表</w:t>
      </w:r>
      <w:r/>
    </w:p>
    <w:tbl>
      <w:tblPr>
        <w:tblStyle w:val="106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单价</w:t>
            </w:r>
            <w:r>
              <w:rPr>
                <w:rFonts w:hint="eastAsia" w:ascii="Times New Roman" w:hAnsi="Times New Roman" w:eastAsia="仿宋_GB2312" w:cs="Times New Roman"/>
                <w:color w:val="auto"/>
                <w:sz w:val="28"/>
                <w:szCs w:val="30"/>
                <w:highlight w:val="none"/>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合价</w:t>
            </w:r>
            <w:r>
              <w:rPr>
                <w:rFonts w:hint="eastAsia" w:ascii="Times New Roman" w:hAnsi="Times New Roman" w:eastAsia="仿宋_GB2312" w:cs="Times New Roman"/>
                <w:color w:val="auto"/>
                <w:sz w:val="28"/>
                <w:szCs w:val="30"/>
                <w:highlight w:val="none"/>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Borders>
              <w:top w:val="none" w:color="000000" w:sz="4"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bl>
    <w:p>
      <w:pPr>
        <w:spacing w:before="120" w:after="120" w:line="440" w:lineRule="exact"/>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spacing w:before="120" w:after="120" w:line="440" w:lineRule="exact"/>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 xml:space="preserve">11-2：工程设备暂估价表</w:t>
      </w:r>
      <w:r/>
    </w:p>
    <w:tbl>
      <w:tblPr>
        <w:tblStyle w:val="106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单价</w:t>
            </w:r>
            <w:r>
              <w:rPr>
                <w:rFonts w:hint="eastAsia" w:ascii="Times New Roman" w:hAnsi="Times New Roman" w:eastAsia="仿宋_GB2312" w:cs="Times New Roman"/>
                <w:color w:val="auto"/>
                <w:sz w:val="28"/>
                <w:szCs w:val="30"/>
                <w:highlight w:val="none"/>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合价</w:t>
            </w:r>
            <w:r>
              <w:rPr>
                <w:rFonts w:hint="eastAsia" w:ascii="Times New Roman" w:hAnsi="Times New Roman" w:eastAsia="仿宋_GB2312" w:cs="Times New Roman"/>
                <w:color w:val="auto"/>
                <w:sz w:val="28"/>
                <w:szCs w:val="30"/>
                <w:highlight w:val="none"/>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Borders>
              <w:top w:val="none" w:color="000000" w:sz="4"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r>
            <w:r/>
          </w:p>
        </w:tc>
      </w:tr>
    </w:tbl>
    <w:p>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before="120" w:after="12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11-3：专业工程暂估价表</w:t>
      </w:r>
      <w:r/>
    </w:p>
    <w:tbl>
      <w:tblPr>
        <w:tblStyle w:val="10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专业工程名称</w:t>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工程内容</w:t>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金额</w:t>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tc>
      </w:tr>
      <w:tr>
        <w:trPr>
          <w:jc w:val="center"/>
        </w:trPr>
        <w:tc>
          <w:tcPr>
            <w:gridSpan w:val="4"/>
            <w:tcW w:w="8817" w:type="dxa"/>
            <w:vAlign w:val="top"/>
            <w:textDirection w:val="lrTb"/>
            <w:noWrap w:val="false"/>
          </w:tcPr>
          <w:p>
            <w:pPr>
              <w:ind w:left="63" w:right="63"/>
              <w:jc w:val="both"/>
              <w:keepNext/>
              <w:spacing w:after="0" w:line="440" w:lineRule="exact"/>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30"/>
                <w:highlight w:val="none"/>
                <w:lang w:val="en-US" w:eastAsia="zh-CN" w:bidi="ar-SA"/>
              </w:rPr>
              <w:t xml:space="preserve">小计：</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erReference w:type="default" r:id="rId20"/>
          <w:footnotePr/>
          <w:endnotePr/>
          <w:type w:val="nextPage"/>
          <w:pgSz w:w="11906" w:h="16838" w:orient="portrait"/>
          <w:pgMar w:top="1418" w:right="1134" w:bottom="1418" w:left="1134" w:header="851" w:footer="992" w:gutter="0"/>
          <w:cols w:num="1" w:sep="0" w:space="1701" w:equalWidth="1"/>
          <w:docGrid w:linePitch="360"/>
        </w:sectPr>
      </w:pPr>
      <w:r>
        <w:rPr>
          <w:rFonts w:hint="eastAsia" w:ascii="宋体" w:hAnsi="宋体" w:eastAsia="宋体" w:cs="宋体"/>
          <w:color w:val="auto"/>
          <w:highlight w:val="none"/>
        </w:rPr>
      </w:r>
      <w:r/>
    </w:p>
    <w:p>
      <w:pPr>
        <w:pStyle w:val="1086"/>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51"/>
      <w:r>
        <w:rPr>
          <w:rFonts w:hint="eastAsia" w:ascii="黑体" w:hAnsi="宋体" w:eastAsia="黑体" w:cs="黑体"/>
          <w:color w:val="auto"/>
          <w:sz w:val="44"/>
          <w:szCs w:val="44"/>
          <w:highlight w:val="none"/>
        </w:rPr>
        <w:t xml:space="preserve">四章 采购需求</w:t>
      </w:r>
      <w:bookmarkEnd w:id="152"/>
      <w:r/>
      <w:bookmarkEnd w:id="153"/>
      <w:r/>
      <w:bookmarkEnd w:id="154"/>
      <w:r/>
      <w:bookmarkEnd w:id="155"/>
      <w:r/>
      <w:bookmarkStart w:id="226" w:name="_Toc26554093"/>
      <w:r/>
      <w:bookmarkEnd w:id="226"/>
      <w:r/>
      <w:bookmarkStart w:id="227" w:name="_Toc49090575"/>
      <w:r/>
      <w:bookmarkEnd w:id="227"/>
      <w:r/>
      <w:r/>
    </w:p>
    <w:p>
      <w:pPr>
        <w:pStyle w:val="1086"/>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val="en-US" w:eastAsia="zh-CN"/>
        </w:rPr>
        <w:t xml:space="preserve">工程</w:t>
      </w:r>
      <w:r>
        <w:rPr>
          <w:rFonts w:hint="eastAsia" w:ascii="宋体" w:hAnsi="宋体" w:eastAsia="宋体" w:cs="宋体"/>
          <w:color w:val="auto"/>
          <w:highlight w:val="none"/>
        </w:rPr>
        <w:t xml:space="preserve">类项目</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采购项目简要说明：</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1、本次招标采购：本工程为</w:t>
      </w:r>
      <w:r>
        <w:rPr>
          <w:rFonts w:hint="eastAsia" w:ascii="宋体" w:hAnsi="宋体" w:cs="宋体"/>
          <w:color w:val="auto"/>
          <w:sz w:val="24"/>
          <w:highlight w:val="none"/>
          <w:lang w:eastAsia="zh-CN"/>
        </w:rPr>
        <w:t xml:space="preserve">长荡镇胜利桥工业园区（西区）雨水管网改造提升项目</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具体以招标人提供的工程量清单、图纸为准。</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2、质量要求：合格</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3、合同履行期限：90日历天</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4、预算金额：247.56万元</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5、履约地点：</w:t>
      </w:r>
      <w:r>
        <w:rPr>
          <w:rFonts w:hint="eastAsia" w:ascii="宋体" w:hAnsi="宋体" w:cs="Times New Roman"/>
          <w:color w:val="auto"/>
          <w:sz w:val="24"/>
          <w:szCs w:val="24"/>
          <w:highlight w:val="none"/>
          <w:lang w:val="en-US" w:eastAsia="zh-CN"/>
        </w:rPr>
        <w:t xml:space="preserve">射阳县长荡镇境内</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6、采购方式：竞争性磋商</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7、评标方法：综合评分法</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二、采购需求</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详见工程量清单及图纸</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三、付款方式：</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spacing w:line="40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（1）合同签订后10日内采购人向成交供应商预付10%的合同价款，供应商书面明确表示无需预付款或主动要求降低预付款比例的，由双方另行商定；</w:t>
      </w:r>
      <w:r/>
    </w:p>
    <w:p>
      <w:pPr>
        <w:ind w:firstLine="420"/>
        <w:spacing w:line="40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（2）工程竣工验收合格后付至中标价的60%（包括以前支付）；</w:t>
      </w:r>
      <w:r/>
    </w:p>
    <w:p>
      <w:pPr>
        <w:ind w:firstLine="420"/>
        <w:spacing w:line="40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（3）工程竣工验收合格经审计后付至审计价的80%（包括以前支付）；</w:t>
      </w:r>
      <w:r/>
    </w:p>
    <w:p>
      <w:pPr>
        <w:ind w:firstLine="420"/>
        <w:spacing w:line="40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（4）工程竣工验收合格满一年按审计结论结清剩余工程款。</w:t>
      </w:r>
      <w:r/>
    </w:p>
    <w:p>
      <w:pPr>
        <w:pStyle w:val="1267"/>
        <w:numPr>
          <w:ilvl w:val="0"/>
          <w:numId w:val="0"/>
        </w:numPr>
        <w:ind w:firstLine="480"/>
        <w:keepLines w:val="0"/>
        <w:keepNext w:val="0"/>
        <w:pageBreakBefore w:val="0"/>
        <w:spacing w:after="0" w:line="480" w:lineRule="exact"/>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（5）按以上进度付款，无任何利息补偿。付款时，承包人须开具税务部门认可的税务发票。</w:t>
      </w:r>
      <w:r/>
    </w:p>
    <w:p>
      <w:pPr>
        <w:pStyle w:val="1267"/>
        <w:numPr>
          <w:ilvl w:val="0"/>
          <w:numId w:val="0"/>
        </w:numPr>
        <w:ind w:left="480"/>
        <w:keepLines w:val="0"/>
        <w:keepNext w:val="0"/>
        <w:pageBreakBefore w:val="0"/>
        <w:spacing w:after="0" w:line="480" w:lineRule="exact"/>
        <w:widowControl w:val="off"/>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w:t>
      </w:r>
      <w:r>
        <w:rPr>
          <w:rFonts w:ascii="宋体" w:hAnsi="宋体" w:cs="宋体"/>
          <w:color w:val="auto"/>
          <w:sz w:val="24"/>
          <w:highlight w:val="none"/>
          <w:lang w:val="en-US" w:eastAsia="zh-CN"/>
        </w:rPr>
        <w:t xml:space="preserve">其它：</w:t>
      </w:r>
      <w:r/>
    </w:p>
    <w:p>
      <w:pPr>
        <w:pStyle w:val="1267"/>
        <w:numPr>
          <w:ilvl w:val="0"/>
          <w:numId w:val="0"/>
        </w:numPr>
        <w:ind w:firstLine="482"/>
        <w:keepLines w:val="0"/>
        <w:keepNext w:val="0"/>
        <w:pageBreakBefore w:val="0"/>
        <w:spacing w:after="0" w:line="480" w:lineRule="exact"/>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1267"/>
        <w:numPr>
          <w:ilvl w:val="0"/>
          <w:numId w:val="0"/>
        </w:numPr>
        <w:ind w:firstLine="480"/>
        <w:keepLines w:val="0"/>
        <w:keepNext w:val="0"/>
        <w:pageBreakBefore w:val="0"/>
        <w:spacing w:after="0" w:line="480" w:lineRule="exact"/>
        <w:widowControl w:val="off"/>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lang w:val="en-US" w:eastAsia="zh-CN"/>
        </w:rPr>
        <w:t xml:space="preserve">、本项目报价含完成项目要求的一切费用，供应商应综合考虑在磋商报价中。</w:t>
      </w:r>
      <w:r/>
    </w:p>
    <w:p>
      <w:pPr>
        <w:pStyle w:val="1267"/>
        <w:numPr>
          <w:ilvl w:val="0"/>
          <w:numId w:val="0"/>
        </w:numPr>
        <w:ind w:firstLine="480"/>
        <w:keepLines w:val="0"/>
        <w:keepNext w:val="0"/>
        <w:pageBreakBefore w:val="0"/>
        <w:spacing w:after="0" w:line="480" w:lineRule="exact"/>
        <w:widowControl w:val="off"/>
        <w:tabs>
          <w:tab w:val="center" w:pos="4536" w:leader="none"/>
        </w:tabs>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lang w:val="en-US" w:eastAsia="zh-CN"/>
        </w:rPr>
        <w:t xml:space="preserve">、本次磋商不接受选择性报价。</w:t>
      </w:r>
      <w:r/>
    </w:p>
    <w:p>
      <w:pPr>
        <w:pStyle w:val="1267"/>
        <w:numPr>
          <w:ilvl w:val="0"/>
          <w:numId w:val="0"/>
        </w:numPr>
        <w:ind w:firstLine="480"/>
        <w:keepLines w:val="0"/>
        <w:keepNext w:val="0"/>
        <w:pageBreakBefore w:val="0"/>
        <w:spacing w:after="0" w:line="480" w:lineRule="exact"/>
        <w:widowControl w:val="off"/>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lang w:val="en-US" w:eastAsia="zh-CN"/>
        </w:rPr>
        <w:t xml:space="preserve">、资格后审：在评审时，对磋商供应商的响应文件中资格性、符合性进行审查，确定供应商是否具备磋商资格以及是否具备成交资格。</w:t>
      </w:r>
      <w:r/>
    </w:p>
    <w:p>
      <w:pPr>
        <w:pStyle w:val="1267"/>
        <w:numPr>
          <w:ilvl w:val="0"/>
          <w:numId w:val="0"/>
        </w:numPr>
        <w:ind w:firstLine="480"/>
        <w:keepLines w:val="0"/>
        <w:keepNext w:val="0"/>
        <w:pageBreakBefore w:val="0"/>
        <w:spacing w:after="0" w:line="480" w:lineRule="exact"/>
        <w:widowControl w:val="off"/>
        <w:rPr>
          <w:rFonts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5</w:t>
      </w:r>
      <w:r>
        <w:rPr>
          <w:rFonts w:ascii="宋体" w:hAnsi="宋体" w:cs="宋体"/>
          <w:b w:val="0"/>
          <w:bCs w:val="0"/>
          <w:color w:val="auto"/>
          <w:sz w:val="24"/>
          <w:highlight w:val="none"/>
          <w:lang w:val="en-US" w:eastAsia="zh-CN"/>
        </w:rPr>
        <w:t xml:space="preserve">、供应商如未能在承诺时间内提供服务，采购人有权没收其履约保证金作为预定的损害赔偿而非罚款。</w:t>
      </w:r>
      <w:r/>
    </w:p>
    <w:p>
      <w:pPr>
        <w:pStyle w:val="1086"/>
        <w:ind w:firstLine="480"/>
        <w:jc w:val="both"/>
        <w:spacing w:beforeAutospacing="0" w:afterAutospacing="0" w:line="0" w:lineRule="atLeast"/>
        <w:rPr>
          <w:color w:val="auto"/>
          <w:highlight w:val="none"/>
        </w:rPr>
      </w:pPr>
      <w:r>
        <w:rPr>
          <w:color w:val="auto"/>
          <w:highlight w:val="none"/>
        </w:rPr>
        <w:t xml:space="preserve"> </w:t>
      </w:r>
      <w:r/>
    </w:p>
    <w:p>
      <w:pPr>
        <w:pStyle w:val="1086"/>
        <w:ind w:firstLine="602"/>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tabs>
          <w:tab w:val="left" w:pos="6205" w:leader="none"/>
        </w:tabs>
        <w:rPr>
          <w:color w:val="auto"/>
          <w:highlight w:val="none"/>
        </w:rPr>
      </w:pPr>
      <w:r>
        <w:rPr>
          <w:color w:val="auto"/>
          <w:highlight w:val="none"/>
        </w:rPr>
        <w:t xml:space="preserve"> </w:t>
      </w:r>
      <w:r/>
    </w:p>
    <w:p>
      <w:pPr>
        <w:pStyle w:val="1086"/>
        <w:jc w:val="both"/>
        <w:spacing w:beforeAutospacing="0" w:afterAutospacing="0"/>
        <w:tabs>
          <w:tab w:val="left" w:pos="6205" w:leader="none"/>
        </w:tabs>
        <w:rPr>
          <w:color w:val="auto"/>
          <w:highlight w:val="none"/>
        </w:rPr>
      </w:pPr>
      <w:r>
        <w:rPr>
          <w:color w:val="auto"/>
          <w:highlight w:val="none"/>
        </w:rPr>
        <w:t xml:space="preserve"> </w:t>
      </w:r>
      <w:r/>
    </w:p>
    <w:p>
      <w:pPr>
        <w:rPr>
          <w:rFonts w:ascii="黑体" w:hAnsi="宋体" w:eastAsia="黑体" w:cs="黑体"/>
          <w:color w:val="auto"/>
          <w:sz w:val="44"/>
          <w:szCs w:val="44"/>
          <w:highlight w:val="none"/>
        </w:rPr>
      </w:pPr>
      <w:r/>
      <w:bookmarkStart w:id="228" w:name="_Toc120614281"/>
      <w:r>
        <w:rPr>
          <w:rFonts w:hint="eastAsia" w:ascii="黑体" w:hAnsi="宋体" w:eastAsia="黑体" w:cs="黑体"/>
          <w:color w:val="auto"/>
          <w:sz w:val="44"/>
          <w:szCs w:val="44"/>
          <w:highlight w:val="none"/>
        </w:rPr>
        <w:br w:type="page" w:clear="all"/>
      </w:r>
      <w:r/>
    </w:p>
    <w:p>
      <w:pPr>
        <w:pStyle w:val="108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228"/>
      <w:r/>
      <w:r/>
    </w:p>
    <w:p>
      <w:pPr>
        <w:ind w:firstLine="482"/>
        <w:keepLines w:val="0"/>
        <w:keepNext w:val="0"/>
        <w:pageBreakBefore w:val="0"/>
        <w:spacing w:line="440" w:lineRule="exact"/>
        <w:widowControl w:val="off"/>
        <w:rPr>
          <w:rFonts w:hint="eastAsia" w:ascii="宋体" w:hAnsi="宋体"/>
          <w:b/>
          <w:bCs/>
          <w:color w:val="auto"/>
          <w:szCs w:val="21"/>
          <w:highlight w:val="none"/>
        </w:rPr>
      </w:pPr>
      <w:r>
        <w:rPr>
          <w:rFonts w:hint="eastAsia" w:ascii="宋体" w:hAnsi="宋体"/>
          <w:b/>
          <w:bCs/>
          <w:color w:val="auto"/>
          <w:szCs w:val="21"/>
          <w:highlight w:val="none"/>
        </w:rPr>
      </w:r>
      <w:r/>
    </w:p>
    <w:p>
      <w:pPr>
        <w:ind w:firstLine="482"/>
        <w:keepLines w:val="0"/>
        <w:keepNext w:val="0"/>
        <w:pageBreakBefore w:val="0"/>
        <w:spacing w:line="440" w:lineRule="exact"/>
        <w:widowControl w:val="off"/>
        <w:rPr>
          <w:rFonts w:ascii="宋体" w:hAnsi="宋体"/>
          <w:b/>
          <w:bCs/>
          <w:color w:val="auto"/>
          <w:szCs w:val="21"/>
          <w:highlight w:val="none"/>
        </w:rPr>
      </w:pPr>
      <w:r>
        <w:rPr>
          <w:rFonts w:hint="eastAsia" w:ascii="宋体" w:hAnsi="宋体"/>
          <w:b/>
          <w:bCs/>
          <w:color w:val="auto"/>
          <w:szCs w:val="21"/>
          <w:highlight w:val="none"/>
        </w:rPr>
        <w:t xml:space="preserve">一、评审方法与定标原则</w:t>
      </w:r>
      <w:r/>
    </w:p>
    <w:p>
      <w:pPr>
        <w:ind w:firstLine="482"/>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磋商小组将对确定为实质性响应磋商文件要求的响应文件进行评价和比较，评审采用</w:t>
      </w:r>
      <w:r>
        <w:rPr>
          <w:rFonts w:hint="eastAsia" w:ascii="宋体" w:hAnsi="宋体"/>
          <w:b/>
          <w:bCs/>
          <w:color w:val="auto"/>
          <w:szCs w:val="21"/>
          <w:highlight w:val="none"/>
        </w:rPr>
        <w:t xml:space="preserve">综合评分法</w:t>
      </w:r>
      <w:r>
        <w:rPr>
          <w:rFonts w:hint="eastAsia" w:ascii="宋体" w:hAnsi="宋体"/>
          <w:color w:val="auto"/>
          <w:szCs w:val="21"/>
          <w:highlight w:val="none"/>
        </w:rPr>
        <w:t xml:space="preserve">确定</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名成交候选人。响应文件满足磋商文件全部实质性要求，且按照评审因素的量化指标评审得分最高的供应商为排名第一的成交候选人。按评审后得分由高到低顺序排列，评审得分相同的，按照最后报价由低到高的顺序推荐。</w:t>
      </w:r>
      <w:r>
        <w:rPr>
          <w:rFonts w:hint="eastAsia" w:hAnsi="宋体" w:cs="宋体"/>
          <w:bCs/>
          <w:color w:val="auto"/>
          <w:szCs w:val="28"/>
          <w:highlight w:val="none"/>
        </w:rPr>
        <w:t xml:space="preserve">得分且报价相同的并列</w:t>
      </w:r>
      <w:r>
        <w:rPr>
          <w:rFonts w:hint="eastAsia" w:ascii="宋体" w:hAnsi="宋体"/>
          <w:color w:val="auto"/>
          <w:szCs w:val="21"/>
          <w:highlight w:val="none"/>
        </w:rPr>
        <w:t xml:space="preserve">。成交候选人如出现并列时，由磋商小组采取随机抽取的方式确定。</w:t>
      </w:r>
      <w:r/>
    </w:p>
    <w:p>
      <w:pPr>
        <w:ind w:firstLine="482"/>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请供应商在最高限价以下进行报价，响应报价高于最高限价的报价，采购人将不予接受，视为无效响应文件，并将视为恶意响应，将提交财政部门按相关法规处理。</w:t>
      </w:r>
      <w:r/>
    </w:p>
    <w:p>
      <w:pPr>
        <w:ind w:firstLine="482"/>
        <w:keepLines w:val="0"/>
        <w:keepNext w:val="0"/>
        <w:pageBreakBefore w:val="0"/>
        <w:spacing w:line="440" w:lineRule="exact"/>
        <w:widowControl w:val="off"/>
        <w:rPr>
          <w:rFonts w:hint="eastAsia" w:ascii="宋体" w:hAnsi="宋体" w:cs="Times New Roman"/>
          <w:color w:val="auto"/>
          <w:sz w:val="21"/>
          <w:szCs w:val="21"/>
          <w:highlight w:val="none"/>
        </w:rPr>
      </w:pPr>
      <w:r>
        <w:rPr>
          <w:rFonts w:hint="eastAsia" w:ascii="宋体" w:hAnsi="宋体"/>
          <w:color w:val="auto"/>
          <w:szCs w:val="21"/>
          <w:highlight w:val="none"/>
        </w:rPr>
        <w:t xml:space="preserve">评审时，磋商小组各成员独立对每个有效供应商的响应文件进行评价、打分，然后汇总，按算术平均方法，计算出每个供应商的得分；报价得分通过计算直接取得；报价得分加磋商小组算术平均得分，为供应商的总得分；每大项记分保留两位小数（第三位四舍五入）；总得分汇总时保留两位小数（第三位四舍五入）；</w:t>
      </w:r>
      <w:r/>
    </w:p>
    <w:p>
      <w:pPr>
        <w:ind w:firstLine="482"/>
        <w:keepLines w:val="0"/>
        <w:keepNext w:val="0"/>
        <w:pageBreakBefore w:val="0"/>
        <w:spacing w:line="440" w:lineRule="exact"/>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二、政府采购政策功能落实</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1、小微型企业价格扣除</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（1）本项目专门面向中小企业预留采购份额100%，不再对小型和微型企业服务给予价格扣除。</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（2）投标人需按照采购文件的要求提供相应的《企业声明函》。</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2、残疾人福利单位价格扣除</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（1）本项目对残疾人福利性单位视同小型、微型企业。</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（2）残疾人福利单位标准请参照《关于促进残疾人就业政府采购政策的通知》（财库〔2017〕141号），需提供《残疾人福利性单位声明函》，格式自拟。</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3、监狱和戒毒企业价格扣除</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（1）本项目对监狱和戒毒企业（简称监狱企业）视同小型、微型企业。</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（3）监狱企业标准请参照《关于政府采购支持监狱企业发展有关问题的通知》（财库[2014]68号）。</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4、残疾人福利单位、监狱企业属于小型、微型企业的，不重复享受政策。</w:t>
      </w:r>
      <w:r/>
    </w:p>
    <w:p>
      <w:pPr>
        <w:ind w:firstLine="482"/>
        <w:keepLines w:val="0"/>
        <w:keepNext w:val="0"/>
        <w:pageBreakBefore w:val="0"/>
        <w:spacing w:line="440" w:lineRule="exact"/>
        <w:widowControl w:val="off"/>
        <w:rPr>
          <w:rFonts w:hint="eastAsia" w:ascii="宋体" w:hAnsi="宋体" w:cs="Times New Roman"/>
          <w:b/>
          <w:bCs/>
          <w:color w:val="auto"/>
          <w:sz w:val="21"/>
          <w:szCs w:val="21"/>
          <w:highlight w:val="none"/>
        </w:rPr>
      </w:pPr>
      <w:r>
        <w:rPr>
          <w:rFonts w:hint="eastAsia" w:ascii="宋体" w:hAnsi="宋体" w:cs="Times New Roman"/>
          <w:b w:val="0"/>
          <w:bCs w:val="0"/>
          <w:color w:val="auto"/>
          <w:sz w:val="24"/>
          <w:szCs w:val="24"/>
          <w:highlight w:val="none"/>
          <w:lang w:val="en-US" w:eastAsia="zh-CN"/>
        </w:rPr>
        <w:t xml:space="preserve"> </w:t>
      </w:r>
      <w:r>
        <w:rPr>
          <w:rFonts w:hint="eastAsia" w:ascii="宋体" w:hAnsi="宋体" w:cs="Times New Roman"/>
          <w:b/>
          <w:bCs/>
          <w:color w:val="auto"/>
          <w:sz w:val="21"/>
          <w:szCs w:val="21"/>
          <w:highlight w:val="none"/>
          <w:lang w:val="en-US" w:eastAsia="zh-CN"/>
        </w:rPr>
        <w:t xml:space="preserve">三、</w:t>
      </w:r>
      <w:r>
        <w:rPr>
          <w:rFonts w:hint="eastAsia" w:ascii="宋体" w:hAnsi="宋体" w:cs="Times New Roman"/>
          <w:b/>
          <w:bCs/>
          <w:color w:val="auto"/>
          <w:sz w:val="21"/>
          <w:szCs w:val="21"/>
          <w:highlight w:val="none"/>
        </w:rPr>
        <w:t xml:space="preserve">评分标准（总分100分）</w:t>
      </w:r>
      <w:r/>
    </w:p>
    <w:tbl>
      <w:tblPr>
        <w:tblStyle w:val="1060"/>
        <w:tblW w:w="9708" w:type="dxa"/>
        <w:tblInd w:w="-217" w:type="dxa"/>
        <w:tblLayout w:type="fixed"/>
        <w:tblCellMar>
          <w:left w:w="108" w:type="dxa"/>
          <w:top w:w="0" w:type="dxa"/>
          <w:right w:w="108" w:type="dxa"/>
          <w:bottom w:w="0" w:type="dxa"/>
        </w:tblCellMar>
        <w:tblLook w:val="04A0" w:firstRow="1" w:lastRow="0" w:firstColumn="1" w:lastColumn="0" w:noHBand="0" w:noVBand="1"/>
      </w:tblPr>
      <w:tblGrid>
        <w:gridCol w:w="641"/>
        <w:gridCol w:w="1667"/>
        <w:gridCol w:w="7400"/>
      </w:tblGrid>
      <w:tr>
        <w:trPr>
          <w:trHeight w:val="710"/>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both"/>
              <w:spacing w:line="240" w:lineRule="exact"/>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评审子项</w:t>
            </w:r>
            <w:r/>
          </w:p>
        </w:tc>
        <w:tc>
          <w:tcPr>
            <w:tcBorders>
              <w:top w:val="single" w:color="000000" w:sz="4" w:space="0"/>
              <w:left w:val="single" w:color="000000" w:sz="4" w:space="0"/>
              <w:bottom w:val="single" w:color="000000" w:sz="4" w:space="0"/>
              <w:right w:val="single" w:color="000000" w:sz="4" w:space="0"/>
            </w:tcBorders>
            <w:tcW w:w="740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评审细则</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240" w:lineRule="exact"/>
              <w:rPr>
                <w:rFonts w:ascii="宋体" w:hAnsi="宋体" w:eastAsia="宋体" w:cs="Times New Roman"/>
                <w:color w:val="auto"/>
                <w:sz w:val="24"/>
                <w:szCs w:val="24"/>
                <w:highlight w:val="none"/>
              </w:rPr>
            </w:pPr>
            <w:r>
              <w:rPr>
                <w:rFonts w:ascii="宋体" w:hAnsi="宋体" w:eastAsia="宋体" w:cs="宋体"/>
                <w:b/>
                <w:color w:val="auto"/>
                <w:sz w:val="24"/>
                <w:szCs w:val="24"/>
                <w:highlight w:val="none"/>
              </w:rPr>
              <w:t xml:space="preserve">1</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w:t>
            </w:r>
            <w:r/>
          </w:p>
          <w:p>
            <w:pPr>
              <w:jc w:val="center"/>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none"/>
                <w:lang w:val="en-US" w:eastAsia="zh-CN"/>
              </w:rPr>
              <w:t xml:space="preserve">20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400" w:type="dxa"/>
            <w:vAlign w:val="top"/>
            <w:textDirection w:val="lrTb"/>
            <w:noWrap w:val="false"/>
          </w:tcPr>
          <w:p>
            <w:pPr>
              <w:jc w:val="left"/>
              <w:keepLines w:val="0"/>
              <w:keepNext w:val="0"/>
              <w:pageBreakBefore w:val="0"/>
              <w:spacing w:line="40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采用低价优先法计算，即满足</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文件要求且</w:t>
            </w:r>
            <w:r>
              <w:rPr>
                <w:rFonts w:hint="eastAsia" w:ascii="宋体" w:hAnsi="宋体" w:eastAsia="宋体" w:cs="Times New Roman"/>
                <w:color w:val="auto"/>
                <w:sz w:val="24"/>
                <w:szCs w:val="24"/>
                <w:highlight w:val="none"/>
                <w:lang w:val="en-US" w:eastAsia="zh-CN"/>
              </w:rPr>
              <w:t xml:space="preserve">最后报价</w:t>
            </w:r>
            <w:r>
              <w:rPr>
                <w:rFonts w:hint="eastAsia" w:ascii="宋体" w:hAnsi="宋体" w:eastAsia="宋体" w:cs="Times New Roman"/>
                <w:color w:val="auto"/>
                <w:sz w:val="24"/>
                <w:szCs w:val="24"/>
                <w:highlight w:val="none"/>
              </w:rPr>
              <w:t xml:space="preserve">最低的</w:t>
            </w:r>
            <w:r>
              <w:rPr>
                <w:rFonts w:hint="eastAsia" w:ascii="宋体" w:hAnsi="宋体" w:eastAsia="宋体" w:cs="Times New Roman"/>
                <w:color w:val="auto"/>
                <w:sz w:val="24"/>
                <w:szCs w:val="24"/>
                <w:highlight w:val="none"/>
                <w:lang w:val="en-US" w:eastAsia="zh-CN"/>
              </w:rPr>
              <w:t xml:space="preserve">供应商的价格</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基准价，其价格分为</w:t>
            </w:r>
            <w:r>
              <w:rPr>
                <w:rFonts w:hint="eastAsia" w:ascii="宋体" w:hAnsi="宋体" w:eastAsia="宋体" w:cs="Times New Roman"/>
                <w:color w:val="auto"/>
                <w:sz w:val="24"/>
                <w:szCs w:val="24"/>
                <w:highlight w:val="none"/>
                <w:lang w:val="en-US" w:eastAsia="zh-CN"/>
              </w:rPr>
              <w:t xml:space="preserve">满分20</w:t>
            </w:r>
            <w:r>
              <w:rPr>
                <w:rFonts w:hint="eastAsia" w:ascii="宋体" w:hAnsi="宋体" w:eastAsia="宋体" w:cs="Times New Roman"/>
                <w:color w:val="auto"/>
                <w:sz w:val="24"/>
                <w:szCs w:val="24"/>
                <w:highlight w:val="none"/>
              </w:rPr>
              <w:t xml:space="preserve">分，其他</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的价格分统一按照下列公式计算：</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报价得分=（</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基准价/</w:t>
            </w:r>
            <w:r>
              <w:rPr>
                <w:rFonts w:hint="eastAsia" w:ascii="宋体" w:hAnsi="宋体" w:eastAsia="宋体" w:cs="Times New Roman"/>
                <w:color w:val="auto"/>
                <w:sz w:val="24"/>
                <w:szCs w:val="24"/>
                <w:highlight w:val="none"/>
                <w:lang w:val="en-US" w:eastAsia="zh-CN"/>
              </w:rPr>
              <w:t xml:space="preserve">最后磋商</w:t>
            </w:r>
            <w:r>
              <w:rPr>
                <w:rFonts w:hint="eastAsia" w:ascii="宋体" w:hAnsi="宋体" w:eastAsia="宋体" w:cs="Times New Roman"/>
                <w:color w:val="auto"/>
                <w:sz w:val="24"/>
                <w:szCs w:val="24"/>
                <w:highlight w:val="none"/>
              </w:rPr>
              <w:t xml:space="preserve">报价）*</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lang w:val="zh-CN"/>
              </w:rPr>
              <w:t xml:space="preserve">（按四舍五入取至小数点后两位）</w:t>
            </w:r>
            <w:r/>
          </w:p>
        </w:tc>
      </w:tr>
      <w:tr>
        <w:trPr>
          <w:trHeight w:val="2775"/>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tl w:val="0"/>
                <w:lang w:val="en-US" w:eastAsia="zh-CN"/>
              </w:rPr>
            </w:pPr>
            <w:r>
              <w:rPr>
                <w:rFonts w:hint="eastAsia" w:ascii="宋体" w:hAnsi="宋体" w:eastAsia="宋体" w:cs="宋体"/>
                <w:b/>
                <w:bCs/>
                <w:color w:val="auto"/>
                <w:sz w:val="24"/>
                <w:szCs w:val="24"/>
                <w:highlight w:val="none"/>
                <w:rtl w:val="0"/>
                <w:lang w:val="en-US" w:eastAsia="zh-CN"/>
              </w:rPr>
              <w:t xml:space="preserve">企业业绩</w:t>
            </w:r>
            <w:r/>
          </w:p>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00" w:type="dxa"/>
            <w:vAlign w:val="top"/>
            <w:textDirection w:val="lrTb"/>
            <w:noWrap w:val="false"/>
          </w:tcPr>
          <w:p>
            <w:pPr>
              <w:ind w:firstLine="480"/>
              <w:jc w:val="left"/>
              <w:spacing w:line="4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highlight w:val="none"/>
              </w:rPr>
              <w:t xml:space="preserve">自2021年5月1日以来，供应商具有类似工程业绩，有一项业绩得 2分，本项最高得</w:t>
            </w: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注意：1、供应商需提供合同、竣工验收证明（竣工验收证明中至少包含建设单位、施工单位盖章），证明材料需提供彩色扫描件并加盖供应商公章，缺一不可，否则不得分； </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2、时间以工程竣工验收证明时间为准。</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3、企业业绩与项目负责人个人的同一业绩不重复计分。</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项目负责人</w:t>
            </w:r>
            <w:r/>
          </w:p>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8</w:t>
            </w:r>
            <w:r>
              <w:rPr>
                <w:rFonts w:hint="eastAsia" w:ascii="宋体" w:hAnsi="宋体" w:eastAsia="宋体" w:cs="宋体"/>
                <w:b/>
                <w:bCs/>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00" w:type="dxa"/>
            <w:vAlign w:val="top"/>
            <w:textDirection w:val="lrTb"/>
            <w:noWrap w:val="false"/>
          </w:tcPr>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自2021年5月1日以来，项目负责人具有类似工程业绩，有一项业绩得 2分，本项最高得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注意：1、供应商需提供</w:t>
            </w:r>
            <w:r>
              <w:rPr>
                <w:rFonts w:hint="eastAsia" w:ascii="宋体" w:hAnsi="宋体" w:eastAsia="宋体" w:cs="Times New Roman"/>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竣工验收证明（竣工验收证明中至少包含建设单位、施工单位盖章）</w:t>
            </w:r>
            <w:r>
              <w:rPr>
                <w:rFonts w:hint="eastAsia" w:ascii="宋体" w:hAnsi="宋体" w:eastAsia="宋体" w:cs="Times New Roman"/>
                <w:color w:val="auto"/>
                <w:sz w:val="24"/>
                <w:szCs w:val="24"/>
                <w:highlight w:val="none"/>
                <w:lang w:val="en-US" w:eastAsia="zh-CN"/>
              </w:rPr>
              <w:t xml:space="preserve">，证明材料需提供彩色扫描件并加盖供应商公章，缺一不可，否则不得分；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2、时间以工程竣工验收证明时间为准。</w:t>
            </w:r>
            <w:r/>
          </w:p>
          <w:p>
            <w:pPr>
              <w:ind w:right="105" w:firstLine="480"/>
              <w:jc w:val="left"/>
              <w:keepLines w:val="0"/>
              <w:keepNext w:val="0"/>
              <w:pageBreakBefore w:val="0"/>
              <w:spacing w:line="40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3、企业业绩与项目负责人个人的同一业绩不重复计分。</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管理人员配备</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00" w:type="dxa"/>
            <w:vAlign w:val="top"/>
            <w:textDirection w:val="lrTb"/>
            <w:noWrap w:val="false"/>
          </w:tcPr>
          <w:p>
            <w:pPr>
              <w:ind w:right="105" w:firstLine="480"/>
              <w:jc w:val="left"/>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1、项目负责人具备建筑行业中级及以上职称得</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分。</w:t>
            </w:r>
            <w:r/>
          </w:p>
          <w:p>
            <w:pPr>
              <w:ind w:right="105" w:firstLine="480"/>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2、本项目管理机构除项目负责人以外，还应当配齐安全员、施工员、质量员。人员齐全得3分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不齐全的每缺一名扣1分。</w:t>
            </w:r>
            <w:r/>
          </w:p>
          <w:p>
            <w:pPr>
              <w:ind w:right="105" w:firstLine="480"/>
              <w:jc w:val="left"/>
              <w:spacing w:line="400" w:lineRule="exact"/>
              <w:rPr>
                <w:rFonts w:hint="default"/>
                <w:color w:val="auto"/>
                <w:highlight w:val="none"/>
                <w:lang w:val="en-US" w:eastAsia="zh-CN"/>
              </w:rPr>
            </w:pPr>
            <w:r>
              <w:rPr>
                <w:rFonts w:hint="eastAsia" w:ascii="宋体" w:hAnsi="宋体" w:eastAsia="宋体" w:cs="Times New Roman"/>
                <w:color w:val="auto"/>
                <w:sz w:val="24"/>
                <w:highlight w:val="none"/>
              </w:rPr>
              <w:t xml:space="preserve">3、项目组成员（不含项目负责人）具备建筑行业中级及以上职称的，每有1人得1分，本项最高得4分。（提供证书的复印件加盖供应商公章，未提供不得分） </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spacing w:line="276"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施工方案</w:t>
            </w:r>
            <w:r/>
          </w:p>
          <w:p>
            <w:pPr>
              <w:jc w:val="center"/>
              <w:spacing w:line="27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59</w:t>
            </w:r>
            <w:r>
              <w:rPr>
                <w:rFonts w:hint="eastAsia" w:ascii="宋体" w:hAnsi="宋体" w:eastAsia="宋体" w:cs="宋体"/>
                <w:b/>
                <w:bCs/>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00" w:type="dxa"/>
            <w:vAlign w:val="top"/>
            <w:textDirection w:val="lrTb"/>
            <w:noWrap w:val="false"/>
          </w:tcPr>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（1）总体概述（9分）：根据投标人提供的总体概述进行综合评定：</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①施工组织总体设想；</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②施工组织机构；</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③施工工艺、顺序； </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（2）现场布置方案（9分）：根据投标人提供的现场布置方案进行综合评定：</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①施工现场平面布置；</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②临时设施；</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③临时道路布置；</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（3）进度保证措施（10分）：根据投标人提供的进度保证措施进行综合评定：</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①施工进度计划；</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②各阶段进度的保证措施；</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（4）安全文明施工及保证措施（10分）：根据投标人提供的安全文明施工及保证措施进行综合评定：</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①针对本项目建设施工安全文明方案；</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②针对本项目建设采取的环保措施； </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（5）投入计划（9分）：根据投标人提供的投入计划进行综合评定： </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①结合本项目具体要求，编制项目实施过程中的劳动力投入计划；</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②结合本项目具体要求，编制项目实施过程中的机械设备投入计划；</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③结合本项目具体要求，编制项目实施过程中的材料投入计划； </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（6）重点、难点和解决方案（12分）：根据投标人提供的重点、难点和解决方案进行综合评定：</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①结合本项目具体要求，编制项目实施过程中的关键施工技术的重点、难点和解决方案；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②结合本项目具体要求，编制项目实施过程中的关键工艺实施的重点、难点和解决方案；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③结合本项目具体要求，编制项目实施过程中的关键工程项目实施的重点、难点和解决方案；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bl>
    <w:p>
      <w:pPr>
        <w:keepLines w:val="0"/>
        <w:keepNext w:val="0"/>
        <w:pageBreakBefore w:val="0"/>
        <w:spacing w:line="440" w:lineRule="exact"/>
        <w:widowControl/>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备注：</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（1）评标委员会成员到达评标现场时应在签到表上签到以证明其出席。</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（2）评标委员会成员首先推选一名评标委员会负责人，负责评标活动的组织领导工作。</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（3）采购人或招标代理机构应向评标委员会提供评标所需的信息和数据。评标委员会负责人应组织评标委员会成员认真研究招标文件，未在招标文件中规定的标准和方法不得作为评标的依据。</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（5）如排名第一的中标候选人放弃中标、因不可抗力不能履行合同、不按照招标文件要求提交履约保证金，或者被查实存在影响中标结果的违法行为等情形，不符合中标条件的，须重新招标。</w:t>
      </w:r>
      <w:r/>
    </w:p>
    <w:p>
      <w:pPr>
        <w:ind w:firstLine="471"/>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（6）在招投标过程中发生行贿受贿、扰乱招投标活动秩序及其他严重违法违纪行为的，一律取消有关责任人参与招投标活动的资格；影响评审结果的，应宣布评审结果无效。</w:t>
      </w:r>
      <w:r/>
    </w:p>
    <w:p>
      <w:pPr>
        <w:ind w:firstLine="471"/>
        <w:keepLines w:val="0"/>
        <w:keepNext w:val="0"/>
        <w:pageBreakBefore w:val="0"/>
        <w:spacing w:line="440" w:lineRule="exact"/>
        <w:widowControl/>
        <w:rPr>
          <w:rFonts w:hint="eastAsia" w:ascii="宋体" w:hAnsi="宋体" w:eastAsia="宋体" w:cs="宋体"/>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（7）评审过程中，除招标文件另有规定外，如发现投标文件无相关资料、数据的，经评标委员会认定，可确定其该项不得分（即取消保底分值）。</w:t>
      </w:r>
      <w:r/>
    </w:p>
    <w:p>
      <w:pPr>
        <w:pStyle w:val="1086"/>
        <w:jc w:val="both"/>
        <w:spacing w:beforeAutospacing="0" w:afterAutospacing="0"/>
        <w:rPr>
          <w:color w:val="auto"/>
          <w:highlight w:val="none"/>
        </w:rPr>
      </w:pPr>
      <w:r>
        <w:rPr>
          <w:color w:val="auto"/>
          <w:highlight w:val="none"/>
        </w:rPr>
        <w:t xml:space="preserve"> </w:t>
      </w:r>
      <w:r/>
    </w:p>
    <w:p>
      <w:pPr>
        <w:pStyle w:val="108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108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 </w:t>
      </w:r>
      <w:r/>
    </w:p>
    <w:p>
      <w:pPr>
        <w:pStyle w:val="1086"/>
        <w:jc w:val="center"/>
        <w:spacing w:beforeAutospacing="0" w:afterAutospacing="0"/>
        <w:rPr>
          <w:rFonts w:hint="eastAsia" w:ascii="宋体" w:hAnsi="宋体" w:eastAsia="宋体" w:cs="宋体"/>
          <w:b/>
          <w:color w:val="auto"/>
          <w:sz w:val="72"/>
          <w:szCs w:val="72"/>
          <w:highlight w:val="none"/>
        </w:rPr>
      </w:pPr>
      <w:r/>
      <w:bookmarkStart w:id="229" w:name="_Toc120614282"/>
      <w:r/>
      <w:bookmarkEnd w:id="229"/>
      <w:r/>
      <w:bookmarkStart w:id="230" w:name="_Toc49090576"/>
      <w:r/>
      <w:bookmarkEnd w:id="230"/>
      <w:r/>
      <w:bookmarkStart w:id="231" w:name="_Toc26554094"/>
      <w:r/>
      <w:bookmarkStart w:id="232" w:name="_Hlt26671244"/>
      <w:r/>
      <w:bookmarkStart w:id="233" w:name="_Hlt26955039"/>
      <w:r/>
      <w:r/>
    </w:p>
    <w:p>
      <w:pPr>
        <w:pStyle w:val="108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8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86"/>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8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1086"/>
        <w:jc w:val="center"/>
        <w:spacing w:beforeAutospacing="0" w:afterAutospacing="0"/>
        <w:rPr>
          <w:color w:val="auto"/>
          <w:highlight w:val="none"/>
        </w:rPr>
      </w:pPr>
      <w:r>
        <w:rPr>
          <w:color w:val="auto"/>
          <w:highlight w:val="none"/>
        </w:rPr>
        <w:t xml:space="preserve"> </w:t>
      </w:r>
      <w:r/>
    </w:p>
    <w:p>
      <w:pPr>
        <w:pStyle w:val="1086"/>
        <w:jc w:val="center"/>
        <w:spacing w:beforeAutospacing="0" w:afterAutospacing="0"/>
        <w:rPr>
          <w:color w:val="auto"/>
          <w:highlight w:val="none"/>
        </w:rPr>
      </w:pPr>
      <w:r>
        <w:rPr>
          <w:color w:val="auto"/>
          <w:highlight w:val="none"/>
        </w:rPr>
      </w:r>
      <w:r/>
    </w:p>
    <w:p>
      <w:pPr>
        <w:pStyle w:val="1086"/>
        <w:jc w:val="center"/>
        <w:spacing w:beforeAutospacing="0" w:afterAutospacing="0"/>
        <w:rPr>
          <w:color w:val="auto"/>
          <w:highlight w:val="none"/>
        </w:rPr>
      </w:pPr>
      <w:r>
        <w:rPr>
          <w:color w:val="auto"/>
          <w:highlight w:val="none"/>
        </w:rPr>
      </w:r>
      <w:r/>
    </w:p>
    <w:p>
      <w:pPr>
        <w:pStyle w:val="1086"/>
        <w:jc w:val="center"/>
        <w:spacing w:beforeAutospacing="0" w:afterAutospacing="0"/>
        <w:rPr>
          <w:color w:val="auto"/>
          <w:highlight w:val="none"/>
        </w:rPr>
      </w:pPr>
      <w:r>
        <w:rPr>
          <w:color w:val="auto"/>
          <w:highlight w:val="none"/>
        </w:rPr>
      </w:r>
      <w:r/>
    </w:p>
    <w:p>
      <w:pPr>
        <w:pStyle w:val="1086"/>
        <w:jc w:val="center"/>
        <w:spacing w:beforeAutospacing="0" w:afterAutospacing="0"/>
        <w:rPr>
          <w:color w:val="auto"/>
          <w:highlight w:val="none"/>
        </w:rPr>
      </w:pPr>
      <w:r>
        <w:rPr>
          <w:color w:val="auto"/>
          <w:highlight w:val="none"/>
        </w:rPr>
      </w:r>
      <w:r/>
    </w:p>
    <w:p>
      <w:pPr>
        <w:pStyle w:val="1086"/>
        <w:jc w:val="center"/>
        <w:spacing w:beforeAutospacing="0" w:afterAutospacing="0"/>
        <w:rPr>
          <w:color w:val="auto"/>
          <w:highlight w:val="none"/>
        </w:rPr>
      </w:pPr>
      <w:r>
        <w:rPr>
          <w:color w:val="auto"/>
          <w:highlight w:val="none"/>
        </w:rPr>
        <w:t xml:space="preserve"> </w:t>
      </w:r>
      <w:r/>
    </w:p>
    <w:p>
      <w:pPr>
        <w:pStyle w:val="1086"/>
        <w:jc w:val="center"/>
        <w:spacing w:beforeAutospacing="0" w:afterAutospacing="0"/>
        <w:rPr>
          <w:color w:val="auto"/>
          <w:highlight w:val="none"/>
        </w:rPr>
      </w:pPr>
      <w:r>
        <w:rPr>
          <w:color w:val="auto"/>
          <w:highlight w:val="none"/>
        </w:rPr>
        <w:t xml:space="preserve"> </w:t>
      </w:r>
      <w:r/>
    </w:p>
    <w:p>
      <w:pPr>
        <w:pStyle w:val="1086"/>
        <w:jc w:val="center"/>
        <w:spacing w:beforeAutospacing="0" w:afterAutospacing="0"/>
        <w:rPr>
          <w:color w:val="auto"/>
          <w:highlight w:val="none"/>
        </w:rPr>
      </w:pPr>
      <w:r>
        <w:rPr>
          <w:color w:val="auto"/>
          <w:highlight w:val="none"/>
        </w:rPr>
        <w:t xml:space="preserve"> </w:t>
      </w:r>
      <w:r/>
    </w:p>
    <w:p>
      <w:pPr>
        <w:pStyle w:val="1086"/>
        <w:jc w:val="center"/>
        <w:spacing w:beforeAutospacing="0" w:afterAutospacing="0"/>
        <w:rPr>
          <w:color w:val="auto"/>
          <w:highlight w:val="none"/>
        </w:rPr>
      </w:pPr>
      <w:r>
        <w:rPr>
          <w:color w:val="auto"/>
          <w:highlight w:val="none"/>
        </w:rPr>
        <w:t xml:space="preserve"> </w:t>
      </w:r>
      <w:r/>
    </w:p>
    <w:p>
      <w:pPr>
        <w:pStyle w:val="1086"/>
        <w:ind w:firstLine="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项 目名 称：</w:t>
      </w:r>
      <w:r>
        <w:rPr>
          <w:rFonts w:hint="eastAsia" w:ascii="宋体" w:hAnsi="宋体" w:eastAsia="宋体" w:cs="宋体"/>
          <w:b/>
          <w:color w:val="auto"/>
          <w:sz w:val="36"/>
          <w:szCs w:val="36"/>
          <w:highlight w:val="none"/>
          <w:u w:val="single"/>
        </w:rPr>
        <w:t xml:space="preserve">               </w:t>
      </w:r>
      <w:r/>
    </w:p>
    <w:p>
      <w:pPr>
        <w:pStyle w:val="1086"/>
        <w:ind w:firstLine="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项 目编 号：</w:t>
      </w:r>
      <w:r>
        <w:rPr>
          <w:rFonts w:hint="eastAsia" w:ascii="宋体" w:hAnsi="宋体" w:eastAsia="宋体" w:cs="宋体"/>
          <w:b/>
          <w:color w:val="auto"/>
          <w:sz w:val="36"/>
          <w:szCs w:val="36"/>
          <w:highlight w:val="none"/>
          <w:u w:val="single"/>
        </w:rPr>
        <w:t xml:space="preserve">               </w:t>
      </w:r>
      <w:r/>
    </w:p>
    <w:p>
      <w:pPr>
        <w:pStyle w:val="108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108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1086"/>
        <w:jc w:val="center"/>
        <w:spacing w:beforeAutospacing="0" w:afterAutospacing="0" w:line="0" w:lineRule="atLeast"/>
        <w:rPr>
          <w:color w:val="auto"/>
          <w:highlight w:val="none"/>
        </w:rPr>
      </w:pPr>
      <w:r>
        <w:rPr>
          <w:color w:val="auto"/>
          <w:highlight w:val="none"/>
        </w:rPr>
        <w:t xml:space="preserve"> </w:t>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360" w:lineRule="auto"/>
        <w:rPr>
          <w:rFonts w:ascii="Cambria" w:hAnsi="Cambria"/>
          <w:b/>
          <w:bCs/>
          <w:color w:val="auto"/>
          <w:sz w:val="32"/>
          <w:szCs w:val="32"/>
          <w:highlight w:val="none"/>
        </w:rPr>
      </w:pPr>
      <w:r>
        <w:rPr>
          <w:rFonts w:hint="eastAsia" w:ascii="Cambria" w:hAnsi="Cambria"/>
          <w:b/>
          <w:bCs/>
          <w:color w:val="auto"/>
          <w:sz w:val="32"/>
          <w:szCs w:val="32"/>
          <w:highlight w:val="none"/>
        </w:rPr>
        <w:t xml:space="preserve">1、磋商响应报价表</w:t>
      </w:r>
      <w:r/>
    </w:p>
    <w:p>
      <w:pPr>
        <w:pStyle w:val="1244"/>
        <w:spacing w:line="520" w:lineRule="atLeast"/>
        <w:rPr>
          <w:color w:val="auto"/>
          <w:highlight w:val="none"/>
        </w:rPr>
      </w:pPr>
      <w:r>
        <w:rPr>
          <w:rFonts w:hint="eastAsia"/>
          <w:color w:val="auto"/>
          <w:highlight w:val="none"/>
        </w:rPr>
        <w:t xml:space="preserve">（第</w:t>
      </w:r>
      <w:r>
        <w:rPr>
          <w:rFonts w:hint="eastAsia"/>
          <w:color w:val="auto"/>
          <w:highlight w:val="none"/>
          <w:u w:val="single"/>
        </w:rPr>
        <w:t xml:space="preserve">  </w:t>
      </w:r>
      <w:r>
        <w:rPr>
          <w:rFonts w:hint="eastAsia"/>
          <w:color w:val="auto"/>
          <w:highlight w:val="none"/>
          <w:u w:val="single"/>
          <w:lang w:val="en-US" w:eastAsia="zh-CN"/>
        </w:rPr>
        <w:t xml:space="preserve">一、二</w:t>
      </w:r>
      <w:r>
        <w:rPr>
          <w:rFonts w:hint="eastAsia"/>
          <w:color w:val="auto"/>
          <w:highlight w:val="none"/>
          <w:u w:val="single"/>
        </w:rPr>
        <w:t xml:space="preserve">  </w:t>
      </w:r>
      <w:r>
        <w:rPr>
          <w:rFonts w:hint="eastAsia"/>
          <w:color w:val="auto"/>
          <w:highlight w:val="none"/>
        </w:rPr>
        <w:t xml:space="preserve">轮）</w:t>
      </w:r>
      <w:r/>
    </w:p>
    <w:p>
      <w:pPr>
        <w:pStyle w:val="1245"/>
        <w:spacing w:line="520" w:lineRule="exact"/>
        <w:rPr>
          <w:rFonts w:ascii="宋体" w:hAnsi="宋体" w:eastAsia="等线"/>
          <w:b/>
          <w:bCs/>
          <w:color w:val="auto"/>
          <w:sz w:val="24"/>
          <w:highlight w:val="none"/>
        </w:rPr>
      </w:pPr>
      <w:r>
        <w:rPr>
          <w:rFonts w:ascii="宋体" w:hAnsi="宋体" w:eastAsia="等线"/>
          <w:b/>
          <w:bCs/>
          <w:color w:val="auto"/>
          <w:sz w:val="24"/>
          <w:highlight w:val="none"/>
        </w:rPr>
      </w:r>
      <w:r/>
    </w:p>
    <w:p>
      <w:pPr>
        <w:pStyle w:val="1245"/>
        <w:jc w:val="right"/>
        <w:spacing w:line="520" w:lineRule="exact"/>
        <w:rPr>
          <w:rFonts w:ascii="宋体" w:hAnsi="宋体"/>
          <w:color w:val="auto"/>
          <w:sz w:val="24"/>
          <w:highlight w:val="none"/>
        </w:rPr>
      </w:pPr>
      <w:r>
        <w:rPr>
          <w:rFonts w:ascii="宋体" w:hAnsi="宋体"/>
          <w:color w:val="auto"/>
          <w:sz w:val="24"/>
          <w:highlight w:val="none"/>
        </w:rPr>
        <w:t xml:space="preserve">货币单位：人民币元</w:t>
      </w:r>
      <w:r/>
    </w:p>
    <w:tbl>
      <w:tblPr>
        <w:tblStyle w:val="1060"/>
        <w:tblpPr w:horzAnchor="margin" w:tblpXSpec="center" w:vertAnchor="text" w:tblpY="199" w:leftFromText="180" w:topFromText="0" w:rightFromText="180" w:bottomFromText="0"/>
        <w:tblW w:w="85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075"/>
      </w:tblGrid>
      <w:tr>
        <w:trPr>
          <w:cantSplit/>
          <w:trHeight w:val="853"/>
        </w:trPr>
        <w:tc>
          <w:tcPr>
            <w:tcW w:w="1506"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项目编号</w:t>
            </w:r>
            <w:r/>
          </w:p>
        </w:tc>
        <w:tc>
          <w:tcPr>
            <w:tcW w:w="7075" w:type="dxa"/>
            <w:vAlign w:val="center"/>
            <w:textDirection w:val="lrTb"/>
            <w:noWrap w:val="false"/>
          </w:tcPr>
          <w:p>
            <w:pPr>
              <w:rPr>
                <w:rFonts w:hint="eastAsia" w:hAnsi="宋体" w:eastAsia="宋体" w:cs="宋体"/>
                <w:color w:val="auto"/>
                <w:sz w:val="24"/>
                <w:highlight w:val="none"/>
                <w:lang w:eastAsia="zh-CN"/>
              </w:rPr>
            </w:pPr>
            <w:r>
              <w:rPr>
                <w:rFonts w:ascii="Segoe UI" w:hAnsi="Segoe UI" w:eastAsia="Segoe UI" w:cs="Segoe UI"/>
                <w:i w:val="0"/>
                <w:iCs w:val="0"/>
                <w:caps w:val="0"/>
                <w:color w:val="auto"/>
                <w:spacing w:val="0"/>
                <w:sz w:val="28"/>
                <w:szCs w:val="28"/>
                <w:highlight w:val="none"/>
                <w:shd w:val="clear" w:color="auto" w:fill="ffffff"/>
              </w:rPr>
              <w:t xml:space="preserve">JSZC-320924-YCXD-C2026-0002</w:t>
            </w:r>
            <w:r/>
          </w:p>
        </w:tc>
      </w:tr>
      <w:tr>
        <w:trPr>
          <w:cantSplit/>
          <w:trHeight w:val="864"/>
        </w:trPr>
        <w:tc>
          <w:tcPr>
            <w:tcW w:w="1506"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项目名称</w:t>
            </w:r>
            <w:r/>
          </w:p>
        </w:tc>
        <w:tc>
          <w:tcPr>
            <w:tcW w:w="7075" w:type="dxa"/>
            <w:vAlign w:val="center"/>
            <w:textDirection w:val="lrTb"/>
            <w:noWrap w:val="false"/>
          </w:tcPr>
          <w:p>
            <w:pPr>
              <w:rPr>
                <w:rFonts w:hint="default" w:hAnsi="宋体" w:eastAsia="宋体" w:cs="宋体"/>
                <w:color w:val="auto"/>
                <w:sz w:val="24"/>
                <w:highlight w:val="none"/>
                <w:lang w:eastAsia="zh-CN"/>
              </w:rPr>
            </w:pPr>
            <w:r>
              <w:rPr>
                <w:rFonts w:hint="eastAsia" w:hAnsi="宋体" w:eastAsia="宋体" w:cs="宋体"/>
                <w:color w:val="auto"/>
                <w:sz w:val="24"/>
                <w:highlight w:val="none"/>
                <w:lang w:eastAsia="zh-CN"/>
              </w:rPr>
              <w:t xml:space="preserve">长荡镇胜利桥工业园区（西区）雨水管网改造提升项目</w:t>
            </w:r>
            <w:r/>
          </w:p>
        </w:tc>
      </w:tr>
      <w:tr>
        <w:trPr>
          <w:cantSplit/>
          <w:trHeight w:val="847"/>
        </w:trPr>
        <w:tc>
          <w:tcPr>
            <w:gridSpan w:val="2"/>
            <w:tcW w:w="8581" w:type="dxa"/>
            <w:vAlign w:val="center"/>
            <w:textDirection w:val="lrTb"/>
            <w:noWrap w:val="false"/>
          </w:tcPr>
          <w:p>
            <w:pPr>
              <w:rPr>
                <w:rFonts w:hAnsi="宋体" w:cs="宋体"/>
                <w:color w:val="auto"/>
                <w:sz w:val="24"/>
                <w:highlight w:val="none"/>
              </w:rPr>
            </w:pPr>
            <w:r>
              <w:rPr>
                <w:rFonts w:hint="eastAsia" w:hAnsi="宋体" w:cs="宋体"/>
                <w:color w:val="auto"/>
                <w:sz w:val="24"/>
                <w:highlight w:val="none"/>
              </w:rPr>
              <w:t xml:space="preserve">项目报价（人民币）：大写 </w:t>
            </w:r>
            <w:r>
              <w:rPr>
                <w:rFonts w:hint="eastAsia" w:hAnsi="宋体" w:cs="宋体"/>
                <w:color w:val="auto"/>
                <w:sz w:val="24"/>
                <w:highlight w:val="none"/>
                <w:u w:val="single"/>
              </w:rPr>
              <w:t xml:space="preserve">                    </w:t>
            </w:r>
            <w:r>
              <w:rPr>
                <w:rFonts w:hint="eastAsia" w:hAnsi="宋体" w:cs="宋体"/>
                <w:color w:val="auto"/>
                <w:sz w:val="24"/>
                <w:highlight w:val="none"/>
              </w:rPr>
              <w:t xml:space="preserve"> ，小写：</w:t>
            </w:r>
            <w:r>
              <w:rPr>
                <w:rFonts w:ascii="Arial" w:hAnsi="Arial" w:cs="Arial"/>
                <w:color w:val="auto"/>
                <w:sz w:val="24"/>
                <w:highlight w:val="none"/>
              </w:rPr>
              <w:t xml:space="preserve">¥</w:t>
            </w:r>
            <w:r>
              <w:rPr>
                <w:rFonts w:hint="eastAsia" w:hAnsi="宋体" w:cs="宋体"/>
                <w:color w:val="auto"/>
                <w:sz w:val="24"/>
                <w:highlight w:val="none"/>
                <w:u w:val="single"/>
              </w:rPr>
              <w:t xml:space="preserve">          </w:t>
            </w:r>
            <w:r/>
          </w:p>
        </w:tc>
      </w:tr>
      <w:tr>
        <w:trPr>
          <w:cantSplit/>
          <w:trHeight w:val="881"/>
        </w:trPr>
        <w:tc>
          <w:tcPr>
            <w:gridSpan w:val="2"/>
            <w:tcW w:w="8581" w:type="dxa"/>
            <w:vAlign w:val="center"/>
            <w:textDirection w:val="lrTb"/>
            <w:noWrap w:val="false"/>
          </w:tcPr>
          <w:p>
            <w:pPr>
              <w:rPr>
                <w:rFonts w:hAnsi="宋体" w:cs="宋体"/>
                <w:color w:val="auto"/>
                <w:sz w:val="24"/>
                <w:highlight w:val="none"/>
              </w:rPr>
            </w:pPr>
            <w:r>
              <w:rPr>
                <w:rFonts w:hint="eastAsia" w:hAnsi="宋体" w:cs="宋体"/>
                <w:color w:val="auto"/>
                <w:sz w:val="24"/>
                <w:highlight w:val="none"/>
              </w:rPr>
              <w:t xml:space="preserve">服务期限：</w:t>
            </w:r>
            <w:r/>
          </w:p>
        </w:tc>
      </w:tr>
      <w:tr>
        <w:trPr>
          <w:cantSplit/>
          <w:trHeight w:val="907"/>
        </w:trPr>
        <w:tc>
          <w:tcPr>
            <w:gridSpan w:val="2"/>
            <w:tcW w:w="8581" w:type="dxa"/>
            <w:vAlign w:val="center"/>
            <w:textDirection w:val="lrTb"/>
            <w:noWrap w:val="false"/>
          </w:tcPr>
          <w:p>
            <w:pPr>
              <w:rPr>
                <w:rFonts w:hAnsi="宋体" w:cs="宋体"/>
                <w:color w:val="auto"/>
                <w:sz w:val="24"/>
                <w:highlight w:val="none"/>
              </w:rPr>
            </w:pPr>
            <w:r>
              <w:rPr>
                <w:rFonts w:hint="eastAsia" w:hAnsi="宋体" w:cs="宋体"/>
                <w:color w:val="auto"/>
                <w:sz w:val="24"/>
                <w:highlight w:val="none"/>
              </w:rPr>
              <w:t xml:space="preserve">小微企业：     □是      □否         详见 </w:t>
            </w:r>
            <w:r>
              <w:rPr>
                <w:rFonts w:hint="eastAsia" w:hAnsi="宋体" w:cs="宋体"/>
                <w:color w:val="auto"/>
                <w:sz w:val="24"/>
                <w:highlight w:val="none"/>
                <w:u w:val="single"/>
              </w:rPr>
              <w:t xml:space="preserve">    </w:t>
            </w:r>
            <w:r>
              <w:rPr>
                <w:rFonts w:hint="eastAsia" w:hAnsi="宋体" w:cs="宋体"/>
                <w:color w:val="auto"/>
                <w:sz w:val="24"/>
                <w:highlight w:val="none"/>
              </w:rPr>
              <w:t xml:space="preserve"> 页 《中小企业声明函》</w:t>
            </w:r>
            <w:r/>
          </w:p>
        </w:tc>
      </w:tr>
    </w:tbl>
    <w:p>
      <w:pPr>
        <w:pStyle w:val="1245"/>
        <w:spacing w:line="520" w:lineRule="exact"/>
        <w:rPr>
          <w:rFonts w:ascii="宋体" w:hAnsi="宋体"/>
          <w:color w:val="auto"/>
          <w:sz w:val="24"/>
          <w:highlight w:val="none"/>
        </w:rPr>
      </w:pPr>
      <w:r>
        <w:rPr>
          <w:rFonts w:ascii="宋体" w:hAnsi="宋体"/>
          <w:color w:val="auto"/>
          <w:sz w:val="24"/>
          <w:highlight w:val="none"/>
        </w:rPr>
      </w:r>
      <w:r/>
    </w:p>
    <w:p>
      <w:pPr>
        <w:ind w:firstLine="4800"/>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投标</w:t>
      </w:r>
      <w:r>
        <w:rPr>
          <w:rFonts w:hint="eastAsia" w:ascii="宋体" w:hAnsi="宋体" w:cs="Segoe UI"/>
          <w:color w:val="auto"/>
          <w:sz w:val="24"/>
          <w:highlight w:val="none"/>
        </w:rPr>
        <w:t xml:space="preserve">单位</w:t>
      </w:r>
      <w:r>
        <w:rPr>
          <w:rFonts w:ascii="宋体" w:hAnsi="宋体" w:cs="Segoe UI"/>
          <w:color w:val="auto"/>
          <w:sz w:val="24"/>
          <w:highlight w:val="none"/>
        </w:rPr>
        <w:t xml:space="preserve">(电子签章)</w:t>
      </w:r>
      <w:r>
        <w:rPr>
          <w:rFonts w:hint="eastAsia" w:ascii="宋体" w:hAnsi="宋体" w:cs="Segoe UI"/>
          <w:color w:val="auto"/>
          <w:sz w:val="24"/>
          <w:highlight w:val="none"/>
        </w:rPr>
        <w:t xml:space="preserve">：</w:t>
      </w:r>
      <w:r/>
    </w:p>
    <w:p>
      <w:pPr>
        <w:spacing w:line="520" w:lineRule="atLeast"/>
        <w:rPr>
          <w:color w:val="auto"/>
          <w:highlight w:val="none"/>
        </w:rPr>
      </w:pPr>
      <w:r>
        <w:rPr>
          <w:rFonts w:hint="eastAsia"/>
          <w:color w:val="auto"/>
          <w:sz w:val="24"/>
          <w:highlight w:val="none"/>
        </w:rPr>
        <w:t xml:space="preserve">                                         </w:t>
      </w:r>
      <w:r>
        <w:rPr>
          <w:rFonts w:hint="eastAsia" w:hAnsi="宋体" w:cs="宋体"/>
          <w:color w:val="auto"/>
          <w:sz w:val="24"/>
          <w:highlight w:val="none"/>
        </w:rPr>
        <w:t xml:space="preserve">日期：      年    月    日</w:t>
      </w:r>
      <w:r/>
    </w:p>
    <w:p>
      <w:pPr>
        <w:pStyle w:val="1247"/>
        <w:rPr>
          <w:color w:val="auto"/>
          <w:sz w:val="40"/>
          <w:szCs w:val="36"/>
          <w:highlight w:val="none"/>
        </w:rPr>
      </w:pPr>
      <w:r>
        <w:rPr>
          <w:color w:val="auto"/>
          <w:sz w:val="40"/>
          <w:szCs w:val="36"/>
          <w:highlight w:val="none"/>
        </w:rPr>
      </w:r>
      <w:r/>
    </w:p>
    <w:p>
      <w:pPr>
        <w:pStyle w:val="1248"/>
        <w:rPr>
          <w:color w:val="auto"/>
          <w:highlight w:val="none"/>
        </w:rPr>
      </w:pPr>
      <w:r>
        <w:rPr>
          <w:rFonts w:hint="eastAsia"/>
          <w:color w:val="auto"/>
          <w:highlight w:val="none"/>
        </w:rPr>
        <w:t xml:space="preserve">            </w:t>
      </w:r>
      <w:r/>
    </w:p>
    <w:p>
      <w:pPr>
        <w:pStyle w:val="1248"/>
        <w:rPr>
          <w:color w:val="auto"/>
          <w:highlight w:val="none"/>
        </w:rPr>
      </w:pPr>
      <w:r>
        <w:rPr>
          <w:color w:val="auto"/>
          <w:highlight w:val="none"/>
        </w:rPr>
      </w:r>
      <w:r/>
    </w:p>
    <w:p>
      <w:pPr>
        <w:pStyle w:val="1248"/>
        <w:rPr>
          <w:color w:val="auto"/>
          <w:highlight w:val="none"/>
        </w:rPr>
      </w:pPr>
      <w:r>
        <w:rPr>
          <w:color w:val="auto"/>
          <w:highlight w:val="none"/>
        </w:rPr>
      </w:r>
      <w:r/>
    </w:p>
    <w:p>
      <w:pPr>
        <w:pStyle w:val="1248"/>
        <w:rPr>
          <w:color w:val="auto"/>
          <w:highlight w:val="none"/>
        </w:rPr>
      </w:pP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注：1、供应商的二轮报价在开标现场根据磋商小组要求或代理机构的通知后填报。</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2、供应商须在规定时间内发送二轮报价。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3、供应商二轮报价应在配置、服务等方面不改变的情况下，不得高于一轮报价，</w:t>
      </w:r>
      <w:r>
        <w:rPr>
          <w:rFonts w:hint="eastAsia" w:ascii="宋体" w:hAnsi="宋体" w:eastAsia="宋体" w:cs="宋体"/>
          <w:color w:val="auto"/>
          <w:sz w:val="24"/>
          <w:highlight w:val="none"/>
          <w:lang w:val="en-US" w:eastAsia="zh-CN"/>
        </w:rPr>
        <w:t xml:space="preserve">否则价格分为零分,</w:t>
      </w:r>
      <w:r>
        <w:rPr>
          <w:rFonts w:hint="eastAsia" w:ascii="宋体" w:hAnsi="宋体" w:eastAsia="宋体" w:cs="宋体"/>
          <w:color w:val="auto"/>
          <w:sz w:val="24"/>
          <w:highlight w:val="none"/>
        </w:rPr>
        <w:t xml:space="preserve">该报价作为最终报价。</w:t>
      </w:r>
      <w:r/>
    </w:p>
    <w:p>
      <w:pPr>
        <w:ind w:firstLine="480"/>
        <w:rPr>
          <w:rFonts w:hint="default" w:ascii="宋体" w:hAnsi="宋体" w:eastAsia="宋体" w:cs="宋体"/>
          <w:color w:val="auto"/>
          <w:sz w:val="24"/>
          <w:highlight w:val="none"/>
          <w:lang w:val="en-US" w:eastAsia="zh-CN"/>
        </w:rPr>
        <w:sectPr>
          <w:headerReference w:type="default" r:id="rId12"/>
          <w:footerReference w:type="default" r:id="rId21"/>
          <w:footnotePr/>
          <w:endnotePr/>
          <w:type w:val="nextPage"/>
          <w:pgSz w:w="11906" w:h="16838" w:orient="portrait"/>
          <w:pgMar w:top="1417" w:right="1416" w:bottom="1417" w:left="1418" w:header="851" w:footer="992" w:gutter="0"/>
          <w:cols w:num="1" w:sep="0" w:space="1701" w:equalWidth="1"/>
          <w:docGrid w:linePitch="360"/>
        </w:sectPr>
      </w:pPr>
      <w:r>
        <w:rPr>
          <w:rFonts w:hint="eastAsia" w:ascii="宋体" w:hAnsi="宋体" w:eastAsia="宋体" w:cs="宋体"/>
          <w:color w:val="auto"/>
          <w:sz w:val="24"/>
          <w:highlight w:val="none"/>
          <w:lang w:val="en-US" w:eastAsia="zh-CN"/>
        </w:rPr>
        <w:t xml:space="preserve">4、分项报价表中的单价根据供应商的二轮报价作同比下浮</w:t>
      </w:r>
      <w:r/>
    </w:p>
    <w:p>
      <w:pPr>
        <w:pStyle w:val="1244"/>
        <w:jc w:val="center"/>
        <w:spacing w:line="240" w:lineRule="auto"/>
        <w:rPr>
          <w:rFonts w:ascii="黑体" w:hAnsi="宋体" w:eastAsia="黑体"/>
          <w:color w:val="auto"/>
          <w:highlight w:val="none"/>
        </w:rPr>
      </w:pPr>
      <w:r>
        <w:rPr>
          <w:rFonts w:hint="eastAsia" w:ascii="黑体" w:hAnsi="宋体" w:eastAsia="黑体"/>
          <w:color w:val="auto"/>
          <w:highlight w:val="none"/>
          <w:lang w:val="en-US" w:eastAsia="zh-CN"/>
        </w:rPr>
        <w:t xml:space="preserve">2 </w:t>
      </w:r>
      <w:r>
        <w:rPr>
          <w:rFonts w:hint="eastAsia" w:ascii="黑体" w:hAnsi="宋体" w:eastAsia="黑体"/>
          <w:color w:val="auto"/>
          <w:highlight w:val="none"/>
        </w:rPr>
        <w:t xml:space="preserve">、竞争性磋商函</w:t>
      </w:r>
      <w:r/>
    </w:p>
    <w:p>
      <w:pPr>
        <w:spacing w:line="480" w:lineRule="exact"/>
        <w:tabs>
          <w:tab w:val="left" w:pos="5580" w:leader="none"/>
        </w:tabs>
        <w:rPr>
          <w:rFonts w:hAnsi="宋体"/>
          <w:b/>
          <w:bCs/>
          <w:color w:val="auto"/>
          <w:sz w:val="32"/>
          <w:highlight w:val="none"/>
        </w:rPr>
      </w:pPr>
      <w:r>
        <w:rPr>
          <w:rFonts w:hAnsi="宋体"/>
          <w:b/>
          <w:bCs/>
          <w:color w:val="auto"/>
          <w:sz w:val="32"/>
          <w:highlight w:val="none"/>
        </w:rPr>
      </w:r>
      <w:r/>
    </w:p>
    <w:p>
      <w:pPr>
        <w:ind w:firstLine="420"/>
        <w:keepLines w:val="0"/>
        <w:keepNext w:val="0"/>
        <w:pageBreakBefore w:val="0"/>
        <w:spacing w:line="440" w:lineRule="exact"/>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val="en-US" w:eastAsia="zh-CN"/>
        </w:rPr>
        <w:t xml:space="preserve">射阳县长荡镇人民政府</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 xml:space="preserve">竞争性磋商文件</w:t>
      </w:r>
      <w:r>
        <w:rPr>
          <w:rFonts w:hint="eastAsia" w:ascii="宋体" w:hAnsi="宋体"/>
          <w:color w:val="auto"/>
          <w:sz w:val="21"/>
          <w:szCs w:val="21"/>
          <w:highlight w:val="none"/>
        </w:rPr>
        <w:t xml:space="preserve">要求，正式授权下述签字人_______________（姓名）代表我方______________（供应商名称），全权处理本次项目磋商的有关事宜。</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据此函，签字人兹宣布同意如下：</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1.按竞争性磋商文件规定的各项要求，向采购人提供所需工程、货物与服务。</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2.我们完全理解贵方不一定将合同授予最低报价的供应商。</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3.我们已详细审核全部竞争性磋商文件及其有效补充文件，我们知道必须放弃提出含糊不清或误解问题的权利。</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4.我们同意从</w:t>
      </w:r>
      <w:bookmarkStart w:id="234" w:name="_Hlk45975570"/>
      <w:r>
        <w:rPr>
          <w:rFonts w:hint="eastAsia" w:ascii="宋体" w:hAnsi="宋体"/>
          <w:color w:val="auto"/>
          <w:sz w:val="21"/>
          <w:szCs w:val="21"/>
          <w:highlight w:val="none"/>
        </w:rPr>
        <w:t xml:space="preserve">规定的响应文件开启时间</w:t>
      </w:r>
      <w:bookmarkEnd w:id="234"/>
      <w:r>
        <w:rPr>
          <w:rFonts w:hint="eastAsia" w:ascii="宋体" w:hAnsi="宋体"/>
          <w:color w:val="auto"/>
          <w:sz w:val="21"/>
          <w:szCs w:val="21"/>
          <w:highlight w:val="none"/>
        </w:rPr>
        <w:t xml:space="preserve">起遵循本响应文件，并在规定的</w:t>
      </w:r>
      <w:bookmarkStart w:id="235" w:name="_Hlk45975587"/>
      <w:r>
        <w:rPr>
          <w:rFonts w:hint="eastAsia" w:ascii="宋体" w:hAnsi="宋体"/>
          <w:color w:val="auto"/>
          <w:sz w:val="21"/>
          <w:szCs w:val="21"/>
          <w:highlight w:val="none"/>
        </w:rPr>
        <w:t xml:space="preserve">磋商响应有效期期满之前</w:t>
      </w:r>
      <w:bookmarkEnd w:id="235"/>
      <w:r>
        <w:rPr>
          <w:rFonts w:hint="eastAsia" w:ascii="宋体" w:hAnsi="宋体"/>
          <w:color w:val="auto"/>
          <w:sz w:val="21"/>
          <w:szCs w:val="21"/>
          <w:highlight w:val="none"/>
        </w:rPr>
        <w:t xml:space="preserve">均具有约束力。</w:t>
      </w:r>
      <w:r/>
    </w:p>
    <w:p>
      <w:pPr>
        <w:ind w:firstLine="420"/>
        <w:keepLines w:val="0"/>
        <w:keepNext w:val="0"/>
        <w:pageBreakBefore w:val="0"/>
        <w:spacing w:line="440" w:lineRule="exact"/>
        <w:widowControl w:val="off"/>
        <w:rPr>
          <w:rFonts w:ascii="宋体" w:hAnsi="宋体"/>
          <w:color w:val="auto"/>
          <w:sz w:val="21"/>
          <w:szCs w:val="21"/>
          <w:highlight w:val="none"/>
        </w:rPr>
      </w:pPr>
      <w:r>
        <w:rPr>
          <w:rFonts w:ascii="宋体" w:hAnsi="宋体"/>
          <w:color w:val="auto"/>
          <w:sz w:val="21"/>
          <w:szCs w:val="21"/>
          <w:highlight w:val="none"/>
        </w:rPr>
        <w:t xml:space="preserve">5.如果在规定的响应文件开启时间起至磋商响应有效期期满之前撤回响应文件或确定成交后拒绝签订协议，所引起的一切法律后果及行政处罚由我们自行承担。</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6.同意向贵方提供贵方可能另外要求的与磋商有关的任何证据或资料，并保证我方已提供和将要提供的文件是真实的、准确的。</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7.本项目一旦确认成交，我方将根据竞争性磋商文件的规定，严格履行合同的责任和义务，并保证在竞争性磋商文件规定的时间内完成项目并按协议规定为采购人提供工程、货物及服务。</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8.遵守竞争性磋商文件中要求的收费项目和标准。</w:t>
      </w:r>
      <w:r/>
    </w:p>
    <w:p>
      <w:pPr>
        <w:ind w:firstLine="420"/>
        <w:keepLines w:val="0"/>
        <w:keepNext w:val="0"/>
        <w:pageBreakBefore w:val="0"/>
        <w:spacing w:line="4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9.与本磋商有关的正式通讯地址为：</w:t>
      </w:r>
      <w:r/>
    </w:p>
    <w:p>
      <w:pPr>
        <w:ind w:firstLine="480"/>
        <w:spacing w:line="5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left"/>
        <w:spacing w:before="100" w:beforeAutospacing="1" w:after="100" w:afterAutospacing="1"/>
        <w:widowControl/>
        <w:rPr>
          <w:rFonts w:hAnsi="宋体" w:cs="宋体"/>
          <w:color w:val="auto"/>
          <w:sz w:val="21"/>
          <w:szCs w:val="21"/>
          <w:highlight w:val="none"/>
        </w:rPr>
      </w:pPr>
      <w:r>
        <w:rPr>
          <w:rFonts w:ascii="宋体" w:hAnsi="宋体" w:cs="Segoe UI"/>
          <w:color w:val="auto"/>
          <w:sz w:val="21"/>
          <w:szCs w:val="21"/>
          <w:highlight w:val="none"/>
        </w:rPr>
        <w:t xml:space="preserve">投标</w:t>
      </w:r>
      <w:r>
        <w:rPr>
          <w:rFonts w:hint="eastAsia" w:ascii="宋体" w:hAnsi="宋体" w:cs="Segoe UI"/>
          <w:color w:val="auto"/>
          <w:sz w:val="21"/>
          <w:szCs w:val="21"/>
          <w:highlight w:val="none"/>
        </w:rPr>
        <w:t xml:space="preserve">单位</w:t>
      </w:r>
      <w:r>
        <w:rPr>
          <w:rFonts w:ascii="宋体" w:hAnsi="宋体" w:cs="Segoe UI"/>
          <w:color w:val="auto"/>
          <w:sz w:val="21"/>
          <w:szCs w:val="21"/>
          <w:highlight w:val="none"/>
        </w:rPr>
        <w:t xml:space="preserve">(电子签章)</w:t>
      </w:r>
      <w:r>
        <w:rPr>
          <w:rFonts w:hint="eastAsia" w:ascii="宋体" w:hAnsi="宋体" w:cs="Segoe UI"/>
          <w:color w:val="auto"/>
          <w:sz w:val="21"/>
          <w:szCs w:val="21"/>
          <w:highlight w:val="none"/>
        </w:rPr>
        <w:t xml:space="preserve">：</w:t>
      </w:r>
      <w:r/>
    </w:p>
    <w:p>
      <w:pPr>
        <w:pStyle w:val="1252"/>
        <w:ind w:firstLine="461"/>
        <w:spacing w:line="520" w:lineRule="atLeast"/>
        <w:rPr>
          <w:rFonts w:hAnsi="宋体" w:cs="宋体"/>
          <w:color w:val="auto"/>
          <w:sz w:val="21"/>
          <w:szCs w:val="21"/>
          <w:highlight w:val="none"/>
        </w:rPr>
      </w:pPr>
      <w:r>
        <w:rPr>
          <w:rFonts w:hint="eastAsia" w:hAnsi="宋体" w:cs="宋体"/>
          <w:color w:val="auto"/>
          <w:sz w:val="21"/>
          <w:szCs w:val="21"/>
          <w:highlight w:val="none"/>
        </w:rPr>
        <w:t xml:space="preserve">法定代表人或委托代理人：(盖章或签字)</w:t>
      </w:r>
      <w:r/>
    </w:p>
    <w:p>
      <w:pPr>
        <w:pStyle w:val="1252"/>
        <w:spacing w:line="520" w:lineRule="atLeast"/>
        <w:rPr>
          <w:rFonts w:hAnsi="宋体" w:cs="宋体"/>
          <w:color w:val="auto"/>
          <w:sz w:val="21"/>
          <w:szCs w:val="21"/>
          <w:highlight w:val="none"/>
        </w:rPr>
      </w:pPr>
      <w:r>
        <w:rPr>
          <w:rFonts w:hAnsi="宋体" w:cs="宋体"/>
          <w:color w:val="auto"/>
          <w:sz w:val="21"/>
          <w:szCs w:val="21"/>
          <w:highlight w:val="none"/>
        </w:rPr>
      </w:r>
      <w:r/>
    </w:p>
    <w:p>
      <w:pPr>
        <w:pStyle w:val="1252"/>
        <w:jc w:val="right"/>
        <w:spacing w:line="520" w:lineRule="atLeast"/>
        <w:rPr>
          <w:rFonts w:hAnsi="宋体" w:cs="宋体"/>
          <w:color w:val="auto"/>
          <w:sz w:val="24"/>
          <w:highlight w:val="none"/>
        </w:rPr>
      </w:pPr>
      <w:r>
        <w:rPr>
          <w:rFonts w:hint="eastAsia" w:hAnsi="宋体" w:cs="宋体"/>
          <w:color w:val="auto"/>
          <w:sz w:val="24"/>
          <w:highlight w:val="none"/>
        </w:rPr>
        <w:t xml:space="preserve">日 </w:t>
      </w:r>
      <w:r>
        <w:rPr>
          <w:rFonts w:hAnsi="宋体" w:cs="宋体"/>
          <w:color w:val="auto"/>
          <w:sz w:val="24"/>
          <w:highlight w:val="none"/>
        </w:rPr>
        <w:t xml:space="preserve">  </w:t>
      </w:r>
      <w:r>
        <w:rPr>
          <w:rFonts w:hint="eastAsia" w:hAnsi="宋体" w:cs="宋体"/>
          <w:color w:val="auto"/>
          <w:sz w:val="24"/>
          <w:highlight w:val="none"/>
        </w:rPr>
        <w:t xml:space="preserve">期：       年    月    日</w:t>
      </w:r>
      <w:r/>
    </w:p>
    <w:p>
      <w:pPr>
        <w:ind w:firstLine="482"/>
        <w:jc w:val="center"/>
        <w:spacing w:line="520" w:lineRule="atLeast"/>
        <w:widowControl/>
        <w:rPr>
          <w:rFonts w:ascii="宋体" w:hAnsi="宋体" w:cs="宋体"/>
          <w:b/>
          <w:bCs/>
          <w:color w:val="auto"/>
          <w:sz w:val="24"/>
          <w:szCs w:val="20"/>
          <w:highlight w:val="none"/>
        </w:rPr>
        <w:sectPr>
          <w:footnotePr/>
          <w:endnotePr/>
          <w:type w:val="nextPage"/>
          <w:pgSz w:w="11906" w:h="16838" w:orient="portrait"/>
          <w:pgMar w:top="1417" w:right="1416" w:bottom="1417" w:left="1418" w:header="851" w:footer="992" w:gutter="0"/>
          <w:cols w:num="1" w:sep="0" w:space="1701" w:equalWidth="1"/>
          <w:docGrid w:linePitch="360"/>
        </w:sectPr>
      </w:pPr>
      <w:r>
        <w:rPr>
          <w:rFonts w:ascii="宋体" w:hAnsi="宋体" w:cs="宋体"/>
          <w:b/>
          <w:bCs/>
          <w:color w:val="auto"/>
          <w:sz w:val="24"/>
          <w:szCs w:val="20"/>
          <w:highlight w:val="none"/>
        </w:rPr>
      </w:r>
      <w:r/>
    </w:p>
    <w:p>
      <w:pPr>
        <w:pStyle w:val="1244"/>
        <w:spacing w:line="240" w:lineRule="auto"/>
        <w:rPr>
          <w:color w:val="auto"/>
          <w:highlight w:val="none"/>
        </w:rPr>
      </w:pPr>
      <w:r/>
      <w:bookmarkStart w:id="236" w:name="_Toc101357904"/>
      <w:r>
        <w:rPr>
          <w:rFonts w:hint="eastAsia"/>
          <w:color w:val="auto"/>
          <w:highlight w:val="none"/>
          <w:lang w:val="en-US" w:eastAsia="zh-CN"/>
        </w:rPr>
        <w:t xml:space="preserve">3</w:t>
      </w:r>
      <w:r>
        <w:rPr>
          <w:rFonts w:hint="eastAsia"/>
          <w:color w:val="auto"/>
          <w:highlight w:val="none"/>
        </w:rPr>
        <w:t xml:space="preserve">、法定代表人身份证明书</w:t>
      </w:r>
      <w:r/>
    </w:p>
    <w:p>
      <w:pPr>
        <w:spacing w:line="480" w:lineRule="exact"/>
        <w:rPr>
          <w:rFonts w:ascii="宋体" w:hAnsi="宋体"/>
          <w:color w:val="auto"/>
          <w:sz w:val="24"/>
          <w:highlight w:val="none"/>
        </w:rPr>
      </w:pPr>
      <w:r>
        <w:rPr>
          <w:rFonts w:ascii="宋体" w:hAnsi="宋体"/>
          <w:color w:val="auto"/>
          <w:sz w:val="24"/>
          <w:highlight w:val="none"/>
        </w:rPr>
      </w:r>
      <w:r/>
    </w:p>
    <w:p>
      <w:pPr>
        <w:ind w:firstLine="425"/>
        <w:spacing w:line="520" w:lineRule="exact"/>
        <w:rPr>
          <w:rFonts w:ascii="宋体" w:hAnsi="宋体"/>
          <w:color w:val="auto"/>
          <w:sz w:val="24"/>
          <w:highlight w:val="none"/>
          <w:u w:val="single"/>
        </w:rPr>
      </w:pPr>
      <w:r>
        <w:rPr>
          <w:rFonts w:hint="eastAsia" w:ascii="宋体" w:hAnsi="宋体"/>
          <w:color w:val="auto"/>
          <w:sz w:val="24"/>
          <w:highlight w:val="none"/>
        </w:rPr>
        <w:t xml:space="preserve">单位名称：</w:t>
      </w:r>
      <w:r>
        <w:rPr>
          <w:rFonts w:ascii="宋体" w:hAnsi="宋体"/>
          <w:color w:val="auto"/>
          <w:sz w:val="24"/>
          <w:highlight w:val="none"/>
          <w:u w:val="single"/>
        </w:rPr>
        <w:t xml:space="preserve">                               </w:t>
      </w:r>
      <w:r/>
    </w:p>
    <w:p>
      <w:pPr>
        <w:ind w:firstLine="425"/>
        <w:spacing w:line="520" w:lineRule="exact"/>
        <w:rPr>
          <w:rFonts w:ascii="宋体"/>
          <w:color w:val="auto"/>
          <w:sz w:val="24"/>
          <w:highlight w:val="none"/>
          <w:u w:val="single"/>
        </w:rPr>
      </w:pPr>
      <w:r>
        <w:rPr>
          <w:rFonts w:hint="eastAsia" w:ascii="宋体" w:hAnsi="宋体"/>
          <w:color w:val="auto"/>
          <w:sz w:val="24"/>
          <w:highlight w:val="none"/>
        </w:rPr>
        <w:t xml:space="preserve">单位性质：</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25"/>
        <w:spacing w:line="520" w:lineRule="exact"/>
        <w:rPr>
          <w:rFonts w:ascii="宋体" w:hAnsi="宋体"/>
          <w:color w:val="auto"/>
          <w:sz w:val="24"/>
          <w:highlight w:val="none"/>
          <w:u w:val="single"/>
        </w:rPr>
      </w:pP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rPr>
          <w:rFonts w:ascii="宋体" w:hAnsi="宋体"/>
          <w:color w:val="auto"/>
          <w:sz w:val="24"/>
          <w:highlight w:val="none"/>
          <w:u w:val="single"/>
        </w:rPr>
        <w:t xml:space="preserve">                                </w:t>
      </w:r>
      <w:r/>
    </w:p>
    <w:p>
      <w:pPr>
        <w:ind w:firstLine="425"/>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p>
    <w:p>
      <w:pPr>
        <w:ind w:firstLine="480"/>
        <w:spacing w:before="240" w:line="380" w:lineRule="exact"/>
        <w:rPr>
          <w:rFonts w:ascii="宋体" w:hAnsi="宋体" w:cs="宋体"/>
          <w:color w:val="auto"/>
          <w:sz w:val="24"/>
          <w:highlight w:val="none"/>
          <w:u w:val="singl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spacing w:before="240" w:line="380" w:lineRule="exact"/>
        <w:rPr>
          <w:rFonts w:ascii="宋体" w:hAnsi="宋体" w:cs="宋体"/>
          <w:color w:val="auto"/>
          <w:sz w:val="24"/>
          <w:highlight w:val="non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highlight w:val="none"/>
          <w:u w:val="single"/>
        </w:rPr>
        <w:t xml:space="preserve">                </w:t>
      </w:r>
      <w:r/>
    </w:p>
    <w:p>
      <w:pPr>
        <w:ind w:firstLine="480"/>
        <w:spacing w:before="240" w:line="380" w:lineRule="exact"/>
        <w:rPr>
          <w:rFonts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（单位名称）的法定代表人。</w:t>
      </w:r>
      <w:r/>
    </w:p>
    <w:p>
      <w:pPr>
        <w:ind w:firstLine="480"/>
        <w:spacing w:before="240" w:line="520" w:lineRule="exact"/>
        <w:rPr>
          <w:rFonts w:ascii="宋体" w:hAnsi="宋体" w:cs="宋体"/>
          <w:color w:val="auto"/>
          <w:sz w:val="24"/>
          <w:highlight w:val="none"/>
        </w:rPr>
      </w:pPr>
      <w:r>
        <w:rPr>
          <w:rFonts w:ascii="宋体" w:hAnsi="宋体" w:cs="宋体"/>
          <w:color w:val="auto"/>
          <w:sz w:val="24"/>
          <w:highlight w:val="none"/>
        </w:rPr>
      </w:r>
      <w:r/>
    </w:p>
    <w:p>
      <w:pPr>
        <w:ind w:left="3598" w:hanging="2760"/>
        <w:spacing w:line="520" w:lineRule="exact"/>
        <w:rPr>
          <w:rFonts w:ascii="宋体"/>
          <w:color w:val="auto"/>
          <w:sz w:val="24"/>
          <w:highlight w:val="none"/>
        </w:rPr>
      </w:pPr>
      <w:r>
        <w:rPr>
          <w:rFonts w:hint="eastAsia" w:ascii="宋体" w:hAnsi="宋体" w:cs="宋体"/>
          <w:color w:val="auto"/>
          <w:sz w:val="24"/>
          <w:highlight w:val="none"/>
        </w:rPr>
        <w:t xml:space="preserve">特此证明。</w:t>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ind w:firstLine="4800"/>
        <w:spacing w:line="480" w:lineRule="exact"/>
        <w:rPr>
          <w:rFonts w:ascii="宋体" w:hAnsi="宋体"/>
          <w:color w:val="auto"/>
          <w:sz w:val="24"/>
          <w:highlight w:val="none"/>
          <w:u w:val="single"/>
        </w:rPr>
      </w:pPr>
      <w:r>
        <w:rPr>
          <w:rFonts w:hint="eastAsia" w:ascii="宋体" w:hAnsi="宋体"/>
          <w:color w:val="auto"/>
          <w:sz w:val="24"/>
          <w:highlight w:val="none"/>
        </w:rPr>
        <w:t xml:space="preserve">投标单位（电子签章）</w:t>
      </w:r>
      <w:r>
        <w:rPr>
          <w:rFonts w:ascii="宋体" w:hAnsi="宋体"/>
          <w:color w:val="auto"/>
          <w:sz w:val="24"/>
          <w:highlight w:val="none"/>
          <w:u w:val="single"/>
        </w:rPr>
        <w:t xml:space="preserve">                </w:t>
      </w:r>
      <w:r/>
    </w:p>
    <w:p>
      <w:pPr>
        <w:spacing w:line="480" w:lineRule="exact"/>
        <w:rPr>
          <w:rFonts w:ascii="宋体"/>
          <w:color w:val="auto"/>
          <w:sz w:val="24"/>
          <w:highlight w:val="none"/>
          <w:u w:val="single"/>
        </w:rPr>
      </w:pPr>
      <w:r>
        <w:rPr>
          <w:rFonts w:ascii="宋体"/>
          <w:color w:val="auto"/>
          <w:sz w:val="24"/>
          <w:highlight w:val="none"/>
          <w:u w:val="single"/>
        </w:rPr>
      </w:r>
      <w:r/>
    </w:p>
    <w:p>
      <w:pPr>
        <w:jc w:val="right"/>
        <w:spacing w:line="480" w:lineRule="exact"/>
        <w:rPr>
          <w:rFonts w:ascii="宋体"/>
          <w:color w:val="auto"/>
          <w:sz w:val="24"/>
          <w:highlight w:val="none"/>
        </w:rPr>
      </w:pPr>
      <w:r>
        <w:rPr>
          <w:rFonts w:hint="eastAsia" w:ascii="宋体" w:hAnsi="宋体"/>
          <w:color w:val="auto"/>
          <w:sz w:val="24"/>
          <w:highlight w:val="none"/>
        </w:rPr>
        <w:t xml:space="preserve">日</w:t>
      </w:r>
      <w:r>
        <w:rPr>
          <w:rFonts w:ascii="宋体" w:hAnsi="宋体"/>
          <w:color w:val="auto"/>
          <w:sz w:val="24"/>
          <w:highlight w:val="none"/>
        </w:rPr>
        <w:t xml:space="preserve">  </w:t>
      </w:r>
      <w:r>
        <w:rPr>
          <w:rFonts w:hint="eastAsia" w:ascii="宋体" w:hAnsi="宋体"/>
          <w:color w:val="auto"/>
          <w:sz w:val="24"/>
          <w:highlight w:val="none"/>
        </w:rPr>
        <w:t xml:space="preserve">期：</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spacing w:line="480" w:lineRule="exact"/>
        <w:rPr>
          <w:rFonts w:ascii="黑体" w:eastAsia="黑体"/>
          <w:b/>
          <w:color w:val="auto"/>
          <w:sz w:val="36"/>
          <w:highlight w:val="none"/>
        </w:rPr>
      </w:pPr>
      <w:r>
        <w:rPr>
          <w:rFonts w:ascii="黑体" w:eastAsia="黑体"/>
          <w:b/>
          <w:color w:val="auto"/>
          <w:sz w:val="36"/>
          <w:highlight w:val="none"/>
        </w:rPr>
      </w:r>
      <w:r/>
    </w:p>
    <w:p>
      <w:pPr>
        <w:jc w:val="center"/>
        <w:spacing w:before="120" w:after="120" w:line="460" w:lineRule="exact"/>
        <w:rPr>
          <w:rFonts w:ascii="宋体" w:hAnsi="Courier New"/>
          <w:b/>
          <w:color w:val="auto"/>
          <w:sz w:val="32"/>
          <w:szCs w:val="32"/>
          <w:highlight w:val="none"/>
        </w:rPr>
        <w:sectPr>
          <w:footnotePr/>
          <w:endnotePr/>
          <w:type w:val="nextPage"/>
          <w:pgSz w:w="11906" w:h="16838" w:orient="portrait"/>
          <w:pgMar w:top="1417" w:right="1416" w:bottom="1417" w:left="1418" w:header="851" w:footer="992" w:gutter="0"/>
          <w:cols w:num="1" w:sep="0" w:space="1701" w:equalWidth="1"/>
          <w:docGrid w:linePitch="360"/>
        </w:sectPr>
        <w:outlineLvl w:val="0"/>
      </w:pPr>
      <w:r>
        <w:rPr>
          <w:rFonts w:ascii="宋体" w:hAnsi="Courier New"/>
          <w:b/>
          <w:color w:val="auto"/>
          <w:sz w:val="32"/>
          <w:szCs w:val="32"/>
          <w:highlight w:val="none"/>
        </w:rPr>
      </w:r>
      <w:r/>
    </w:p>
    <w:p>
      <w:pPr>
        <w:jc w:val="center"/>
        <w:spacing w:line="420" w:lineRule="exact"/>
        <w:rPr>
          <w:rFonts w:ascii="黑体" w:hAnsi="宋体" w:eastAsia="黑体"/>
          <w:bCs/>
          <w:color w:val="auto"/>
          <w:sz w:val="32"/>
          <w:szCs w:val="32"/>
          <w:highlight w:val="none"/>
        </w:rPr>
      </w:pPr>
      <w:r>
        <w:rPr>
          <w:rFonts w:hint="eastAsia" w:ascii="Cambria" w:hAnsi="Cambria"/>
          <w:b/>
          <w:bCs/>
          <w:color w:val="auto"/>
          <w:sz w:val="32"/>
          <w:szCs w:val="32"/>
          <w:highlight w:val="none"/>
          <w:lang w:val="en-US" w:eastAsia="zh-CN"/>
        </w:rPr>
        <w:t xml:space="preserve">4</w:t>
      </w:r>
      <w:r>
        <w:rPr>
          <w:rFonts w:hint="eastAsia" w:ascii="Cambria" w:hAnsi="Cambria"/>
          <w:b/>
          <w:bCs/>
          <w:color w:val="auto"/>
          <w:sz w:val="32"/>
          <w:szCs w:val="32"/>
          <w:highlight w:val="none"/>
        </w:rPr>
        <w:t xml:space="preserve">、供应商单位法定代表人授权书</w:t>
      </w:r>
      <w:r/>
    </w:p>
    <w:p>
      <w:pPr>
        <w:jc w:val="left"/>
        <w:spacing w:line="460" w:lineRule="exact"/>
        <w:rPr>
          <w:rFonts w:ascii="楷体_GB2312" w:eastAsia="楷体_GB2312"/>
          <w:color w:val="auto"/>
          <w:sz w:val="28"/>
          <w:highlight w:val="none"/>
        </w:rPr>
      </w:pPr>
      <w:r>
        <w:rPr>
          <w:rFonts w:ascii="楷体_GB2312" w:eastAsia="楷体_GB2312"/>
          <w:color w:val="auto"/>
          <w:sz w:val="28"/>
          <w:highlight w:val="none"/>
        </w:rPr>
      </w:r>
      <w:r/>
    </w:p>
    <w:p>
      <w:pPr>
        <w:spacing w:line="5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射阳县长荡镇人民政府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______________________________系中华人民共和国合法企业，法定地址_________________________，特授权___________代表我单位全权办理针对</w:t>
      </w:r>
      <w:bookmarkStart w:id="237" w:name="_Hlk45974980"/>
      <w:r>
        <w:rPr>
          <w:rFonts w:hint="eastAsia" w:ascii="宋体" w:hAnsi="宋体"/>
          <w:color w:val="auto"/>
          <w:sz w:val="24"/>
          <w:highlight w:val="none"/>
          <w:lang w:eastAsia="zh-CN"/>
        </w:rPr>
        <w:t xml:space="preserve">SYCG(D)- </w:t>
      </w:r>
      <w:r>
        <w:rPr>
          <w:rFonts w:hint="eastAsia" w:ascii="宋体" w:hAnsi="宋体"/>
          <w:color w:val="auto"/>
          <w:sz w:val="24"/>
          <w:highlight w:val="none"/>
          <w:lang w:val="en-US" w:eastAsia="zh-CN"/>
        </w:rPr>
        <w:t xml:space="preserve">202670</w:t>
      </w:r>
      <w:r>
        <w:rPr>
          <w:rFonts w:hint="eastAsia" w:ascii="宋体" w:hAnsi="宋体"/>
          <w:color w:val="auto"/>
          <w:sz w:val="24"/>
          <w:highlight w:val="none"/>
        </w:rPr>
        <w:t xml:space="preserve">竞争性磋商文件</w:t>
      </w:r>
      <w:bookmarkEnd w:id="237"/>
      <w:r>
        <w:rPr>
          <w:rFonts w:hint="eastAsia" w:ascii="宋体" w:hAnsi="宋体"/>
          <w:color w:val="auto"/>
          <w:sz w:val="24"/>
          <w:highlight w:val="none"/>
        </w:rPr>
        <w:t xml:space="preserve">的投标、参与磋商、谈判、签约等具体工作，并签署全部有关的文件、协议及合同。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我公司对被授权人的签名负全部责任。在撤销授权的书面通知以前，本授权书一直有效。被授权人签署的所有文件（在授权书有效期内签署的）不因授权的撤销而失效。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（被授权人联系电话：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    　　</w:t>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投标单位（电子签章）：</w:t>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法定代表人（盖章或签字）：</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                         </w:t>
      </w:r>
      <w:r/>
    </w:p>
    <w:p>
      <w:pPr>
        <w:ind w:firstLine="960"/>
        <w:spacing w:line="500" w:lineRule="exact"/>
        <w:rPr>
          <w:rFonts w:ascii="宋体" w:hAnsi="宋体"/>
          <w:color w:val="auto"/>
          <w:sz w:val="24"/>
          <w:highlight w:val="none"/>
        </w:rPr>
      </w:pPr>
      <w:r>
        <w:rPr>
          <w:rFonts w:hint="eastAsia" w:ascii="宋体" w:hAnsi="宋体"/>
          <w:color w:val="auto"/>
          <w:sz w:val="24"/>
          <w:highlight w:val="none"/>
        </w:rPr>
        <w:t xml:space="preserve">年 　月　 日</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8"/>
          <w:szCs w:val="28"/>
          <w:highlight w:val="none"/>
        </w:rPr>
      </w:pPr>
      <w:r>
        <w:rPr>
          <w:rFonts w:hint="eastAsia" w:ascii="宋体" w:hAnsi="宋体"/>
          <w:color w:val="auto"/>
          <w:sz w:val="24"/>
          <w:highlight w:val="none"/>
        </w:rPr>
        <w:t xml:space="preserve">附</w:t>
      </w:r>
      <w:r>
        <w:rPr>
          <w:rFonts w:hint="eastAsia" w:ascii="宋体" w:hAnsi="宋体"/>
          <w:color w:val="auto"/>
          <w:sz w:val="28"/>
          <w:szCs w:val="28"/>
          <w:highlight w:val="none"/>
        </w:rPr>
        <w:t xml:space="preserve">：</w:t>
      </w:r>
      <w:r/>
    </w:p>
    <w:tbl>
      <w:tblPr>
        <w:tblStyle w:val="1060"/>
        <w:tblW w:w="5472" w:type="dxa"/>
        <w:tblInd w:w="19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2"/>
      </w:tblGrid>
      <w:tr>
        <w:trPr>
          <w:trHeight w:val="3464"/>
        </w:trPr>
        <w:tc>
          <w:tcPr>
            <w:tcW w:w="5472" w:type="dxa"/>
            <w:vAlign w:val="center"/>
            <w:textDirection w:val="lrTb"/>
            <w:noWrap w:val="false"/>
          </w:tcPr>
          <w:p>
            <w:pPr>
              <w:jc w:val="center"/>
              <w:spacing w:line="480" w:lineRule="exact"/>
              <w:rPr>
                <w:rFonts w:ascii="宋体"/>
                <w:color w:val="auto"/>
                <w:sz w:val="24"/>
                <w:highlight w:val="none"/>
              </w:rPr>
            </w:pPr>
            <w:r>
              <w:rPr>
                <w:rFonts w:hint="eastAsia" w:ascii="宋体" w:hAnsi="宋体"/>
                <w:color w:val="auto"/>
                <w:sz w:val="24"/>
                <w:highlight w:val="none"/>
              </w:rPr>
              <w:t xml:space="preserve">（代理人身份证正反面粘贴处）</w:t>
            </w:r>
            <w:r/>
          </w:p>
        </w:tc>
      </w:tr>
    </w:tbl>
    <w:p>
      <w:pPr>
        <w:ind w:firstLine="800"/>
        <w:rPr>
          <w:rFonts w:ascii="黑体" w:hAnsi="宋体" w:eastAsia="黑体"/>
          <w:color w:val="auto"/>
          <w:sz w:val="32"/>
          <w:szCs w:val="32"/>
          <w:highlight w:val="none"/>
        </w:rPr>
      </w:pPr>
      <w:r>
        <w:rPr>
          <w:rFonts w:hint="eastAsia" w:ascii="黑体" w:hAnsi="宋体" w:eastAsia="黑体"/>
          <w:color w:val="auto"/>
          <w:sz w:val="32"/>
          <w:szCs w:val="32"/>
          <w:highlight w:val="none"/>
          <w:lang w:val="en-US" w:eastAsia="zh-CN"/>
        </w:rPr>
        <w:t xml:space="preserve">5</w:t>
      </w:r>
      <w:r>
        <w:rPr>
          <w:rFonts w:hint="eastAsia" w:ascii="黑体" w:hAnsi="宋体" w:eastAsia="黑体"/>
          <w:color w:val="auto"/>
          <w:sz w:val="32"/>
          <w:szCs w:val="32"/>
          <w:highlight w:val="none"/>
        </w:rPr>
        <w:t xml:space="preserve">、前 3 年内在经营活动中没有重大违法记录的声明</w:t>
      </w:r>
      <w:r/>
    </w:p>
    <w:p>
      <w:pPr>
        <w:ind w:firstLine="560"/>
        <w:rPr>
          <w:rFonts w:ascii="宋体" w:hAnsi="宋体"/>
          <w:color w:val="auto"/>
          <w:sz w:val="28"/>
          <w:szCs w:val="28"/>
          <w:highlight w:val="none"/>
        </w:rPr>
      </w:pPr>
      <w:r>
        <w:rPr>
          <w:rFonts w:ascii="宋体" w:hAnsi="宋体"/>
          <w:color w:val="auto"/>
          <w:sz w:val="28"/>
          <w:szCs w:val="28"/>
          <w:highlight w:val="none"/>
        </w:rPr>
      </w:r>
      <w:r/>
    </w:p>
    <w:p>
      <w:pPr>
        <w:ind w:firstLine="640"/>
        <w:jc w:val="center"/>
        <w:rPr>
          <w:rFonts w:ascii="黑体" w:hAnsi="宋体" w:eastAsia="黑体"/>
          <w:color w:val="auto"/>
          <w:sz w:val="32"/>
          <w:szCs w:val="32"/>
          <w:highlight w:val="none"/>
        </w:rPr>
      </w:pPr>
      <w:r>
        <w:rPr>
          <w:rFonts w:hint="eastAsia" w:ascii="黑体" w:hAnsi="宋体" w:eastAsia="黑体"/>
          <w:color w:val="auto"/>
          <w:sz w:val="32"/>
          <w:szCs w:val="32"/>
          <w:highlight w:val="none"/>
        </w:rPr>
        <w:t xml:space="preserve">声明</w:t>
      </w:r>
      <w:r/>
    </w:p>
    <w:p>
      <w:pPr>
        <w:ind w:firstLine="560"/>
        <w:spacing w:line="640" w:lineRule="exact"/>
        <w:rPr>
          <w:rFonts w:ascii="宋体" w:hAnsi="宋体"/>
          <w:color w:val="auto"/>
          <w:sz w:val="28"/>
          <w:szCs w:val="28"/>
          <w:highlight w:val="none"/>
        </w:rPr>
      </w:pPr>
      <w:r>
        <w:rPr>
          <w:rFonts w:ascii="宋体" w:hAnsi="宋体"/>
          <w:color w:val="auto"/>
          <w:sz w:val="28"/>
          <w:szCs w:val="28"/>
          <w:highlight w:val="none"/>
        </w:rPr>
      </w:r>
      <w:r/>
    </w:p>
    <w:p>
      <w:pPr>
        <w:ind w:firstLine="480"/>
        <w:spacing w:line="640" w:lineRule="exact"/>
        <w:rPr>
          <w:rFonts w:ascii="宋体" w:hAnsi="宋体"/>
          <w:color w:val="auto"/>
          <w:sz w:val="24"/>
          <w:highlight w:val="none"/>
        </w:rPr>
      </w:pPr>
      <w:r>
        <w:rPr>
          <w:rFonts w:hint="eastAsia" w:ascii="宋体" w:hAnsi="宋体"/>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640" w:lineRule="exact"/>
        <w:rPr>
          <w:rFonts w:ascii="宋体" w:hAnsi="宋体"/>
          <w:color w:val="auto"/>
          <w:sz w:val="24"/>
          <w:highlight w:val="none"/>
        </w:rPr>
      </w:pPr>
      <w:r>
        <w:rPr>
          <w:rFonts w:hint="eastAsia" w:ascii="宋体" w:hAnsi="宋体"/>
          <w:color w:val="auto"/>
          <w:sz w:val="24"/>
          <w:highlight w:val="none"/>
        </w:rPr>
        <w:t xml:space="preserve">如我公司在前3年内有重大违法记录，则视为我公司出具的声明为虚假材料，我单位愿意接受监管部门的相应处罚。</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0"/>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投标</w:t>
      </w:r>
      <w:r>
        <w:rPr>
          <w:rFonts w:hint="eastAsia" w:ascii="宋体" w:hAnsi="宋体" w:cs="Segoe UI"/>
          <w:color w:val="auto"/>
          <w:sz w:val="24"/>
          <w:highlight w:val="none"/>
        </w:rPr>
        <w:t xml:space="preserve">单位</w:t>
      </w:r>
      <w:r>
        <w:rPr>
          <w:rFonts w:ascii="宋体" w:hAnsi="宋体" w:cs="Segoe UI"/>
          <w:color w:val="auto"/>
          <w:sz w:val="24"/>
          <w:highlight w:val="none"/>
        </w:rPr>
        <w:t xml:space="preserve">(电子签章)</w:t>
      </w:r>
      <w:r>
        <w:rPr>
          <w:rFonts w:hint="eastAsia" w:ascii="宋体" w:hAnsi="宋体" w:cs="Segoe UI"/>
          <w:color w:val="auto"/>
          <w:sz w:val="24"/>
          <w:highlight w:val="none"/>
        </w:rPr>
        <w:t xml:space="preserve">：</w:t>
      </w:r>
      <w:r/>
    </w:p>
    <w:p>
      <w:pPr>
        <w:ind w:firstLine="480"/>
        <w:jc w:val="right"/>
        <w:rPr>
          <w:rFonts w:ascii="宋体" w:hAnsi="宋体"/>
          <w:color w:val="auto"/>
          <w:sz w:val="24"/>
          <w:highlight w:val="none"/>
        </w:rPr>
      </w:pPr>
      <w:r>
        <w:rPr>
          <w:rFonts w:ascii="宋体" w:hAnsi="宋体"/>
          <w:color w:val="auto"/>
          <w:sz w:val="24"/>
          <w:highlight w:val="none"/>
        </w:rPr>
      </w:r>
      <w:r/>
    </w:p>
    <w:p>
      <w:pPr>
        <w:ind w:firstLine="480"/>
        <w:jc w:val="right"/>
        <w:rPr>
          <w:rFonts w:ascii="宋体" w:hAnsi="宋体"/>
          <w:color w:val="auto"/>
          <w:sz w:val="24"/>
          <w:highlight w:val="none"/>
        </w:rPr>
      </w:pPr>
      <w:r>
        <w:rPr>
          <w:rFonts w:hint="eastAsia" w:ascii="宋体" w:hAnsi="宋体"/>
          <w:color w:val="auto"/>
          <w:sz w:val="24"/>
          <w:highlight w:val="none"/>
        </w:rPr>
        <w:t xml:space="preserve">法定代表人或其被授权人（盖章或签字）：</w:t>
      </w:r>
      <w:r/>
    </w:p>
    <w:p>
      <w:pPr>
        <w:ind w:firstLine="480"/>
        <w:jc w:val="right"/>
        <w:rPr>
          <w:rFonts w:ascii="宋体" w:hAnsi="宋体"/>
          <w:color w:val="auto"/>
          <w:sz w:val="24"/>
          <w:highlight w:val="none"/>
        </w:rPr>
      </w:pPr>
      <w:r>
        <w:rPr>
          <w:rFonts w:ascii="宋体" w:hAnsi="宋体"/>
          <w:color w:val="auto"/>
          <w:sz w:val="24"/>
          <w:highlight w:val="none"/>
        </w:rPr>
      </w:r>
      <w:r/>
    </w:p>
    <w:p>
      <w:pPr>
        <w:ind w:firstLine="480"/>
        <w:jc w:val="right"/>
        <w:rPr>
          <w:rFonts w:ascii="宋体" w:hAnsi="宋体"/>
          <w:color w:val="auto"/>
          <w:sz w:val="28"/>
          <w:szCs w:val="28"/>
          <w:highlight w:val="none"/>
        </w:rPr>
      </w:pPr>
      <w:r>
        <w:rPr>
          <w:rFonts w:hint="eastAsia" w:ascii="宋体" w:hAnsi="宋体"/>
          <w:color w:val="auto"/>
          <w:sz w:val="24"/>
          <w:highlight w:val="none"/>
        </w:rPr>
        <w:t xml:space="preserve">     年   月   日</w:t>
      </w:r>
      <w:r/>
    </w:p>
    <w:p>
      <w:pPr>
        <w:ind w:firstLine="560"/>
        <w:spacing w:line="460" w:lineRule="exact"/>
        <w:rPr>
          <w:rFonts w:ascii="宋体" w:hAnsi="宋体"/>
          <w:bCs/>
          <w:color w:val="auto"/>
          <w:sz w:val="28"/>
          <w:szCs w:val="28"/>
          <w:highlight w:val="none"/>
        </w:rPr>
      </w:pPr>
      <w:r>
        <w:rPr>
          <w:rFonts w:ascii="宋体" w:hAnsi="宋体"/>
          <w:bCs/>
          <w:color w:val="auto"/>
          <w:sz w:val="28"/>
          <w:szCs w:val="28"/>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pStyle w:val="1253"/>
        <w:ind w:firstLine="640"/>
        <w:spacing w:before="0" w:beforeAutospacing="0" w:after="0" w:afterAutospacing="0" w:line="640" w:lineRule="exact"/>
        <w:widowControl w:val="off"/>
        <w:rPr>
          <w:rFonts w:ascii="黑体" w:hAnsi="宋体" w:eastAsia="黑体"/>
          <w:color w:val="auto"/>
          <w:sz w:val="32"/>
          <w:szCs w:val="32"/>
          <w:highlight w:val="none"/>
        </w:rPr>
      </w:pPr>
      <w:r>
        <w:rPr>
          <w:rFonts w:ascii="黑体" w:hAnsi="宋体" w:eastAsia="黑体"/>
          <w:color w:val="auto"/>
          <w:sz w:val="32"/>
          <w:szCs w:val="32"/>
          <w:highlight w:val="none"/>
        </w:rPr>
      </w:r>
      <w:r/>
    </w:p>
    <w:p>
      <w:pPr>
        <w:jc w:val="center"/>
        <w:spacing w:line="360" w:lineRule="auto"/>
        <w:rPr>
          <w:rFonts w:ascii="黑体" w:hAnsi="宋体" w:eastAsia="黑体"/>
          <w:color w:val="auto"/>
          <w:sz w:val="32"/>
          <w:szCs w:val="32"/>
          <w:highlight w:val="none"/>
        </w:rPr>
      </w:pPr>
      <w:r>
        <w:rPr>
          <w:rFonts w:hint="eastAsia" w:ascii="黑体" w:hAnsi="宋体" w:eastAsia="黑体"/>
          <w:color w:val="auto"/>
          <w:sz w:val="32"/>
          <w:szCs w:val="32"/>
          <w:highlight w:val="none"/>
          <w:lang w:val="en-US" w:eastAsia="zh-CN"/>
        </w:rPr>
        <w:t xml:space="preserve">6</w:t>
      </w:r>
      <w:r>
        <w:rPr>
          <w:rFonts w:hint="eastAsia" w:ascii="黑体" w:hAnsi="宋体" w:eastAsia="黑体"/>
          <w:color w:val="auto"/>
          <w:sz w:val="32"/>
          <w:szCs w:val="32"/>
          <w:highlight w:val="none"/>
        </w:rPr>
        <w:t xml:space="preserve">、</w:t>
      </w:r>
      <w:r>
        <w:rPr>
          <w:rFonts w:ascii="黑体" w:hAnsi="宋体" w:eastAsia="黑体"/>
          <w:color w:val="auto"/>
          <w:sz w:val="32"/>
          <w:szCs w:val="32"/>
          <w:highlight w:val="none"/>
        </w:rPr>
        <w:t xml:space="preserve">履行合同所必需的设备和专业技术能力的声明</w:t>
      </w:r>
      <w:r/>
    </w:p>
    <w:p>
      <w:pPr>
        <w:pStyle w:val="1254"/>
        <w:ind w:firstLine="643"/>
        <w:jc w:val="center"/>
        <w:spacing w:line="600" w:lineRule="exact"/>
        <w:rPr>
          <w:rFonts w:ascii="宋体" w:hAnsi="宋体"/>
          <w:b/>
          <w:color w:val="auto"/>
          <w:sz w:val="32"/>
          <w:szCs w:val="24"/>
          <w:highlight w:val="none"/>
        </w:rPr>
      </w:pPr>
      <w:r>
        <w:rPr>
          <w:rFonts w:hint="eastAsia" w:ascii="宋体" w:hAnsi="宋体"/>
          <w:b/>
          <w:color w:val="auto"/>
          <w:sz w:val="32"/>
          <w:szCs w:val="24"/>
          <w:highlight w:val="none"/>
        </w:rPr>
        <w:t xml:space="preserve">声 </w:t>
      </w:r>
      <w:r>
        <w:rPr>
          <w:rFonts w:ascii="宋体" w:hAnsi="宋体"/>
          <w:b/>
          <w:color w:val="auto"/>
          <w:sz w:val="32"/>
          <w:szCs w:val="24"/>
          <w:highlight w:val="none"/>
        </w:rPr>
        <w:t xml:space="preserve">  </w:t>
      </w:r>
      <w:r>
        <w:rPr>
          <w:rFonts w:hint="eastAsia" w:ascii="宋体" w:hAnsi="宋体"/>
          <w:b/>
          <w:color w:val="auto"/>
          <w:sz w:val="32"/>
          <w:szCs w:val="24"/>
          <w:highlight w:val="none"/>
        </w:rPr>
        <w:t xml:space="preserve">明</w:t>
      </w:r>
      <w:r/>
    </w:p>
    <w:p>
      <w:pPr>
        <w:ind w:firstLine="560"/>
        <w:rPr>
          <w:rFonts w:ascii="宋体" w:hAnsi="宋体"/>
          <w:color w:val="auto"/>
          <w:sz w:val="28"/>
          <w:szCs w:val="28"/>
          <w:highlight w:val="none"/>
        </w:rPr>
      </w:pPr>
      <w:r>
        <w:rPr>
          <w:rFonts w:ascii="宋体" w:hAnsi="宋体"/>
          <w:color w:val="auto"/>
          <w:sz w:val="28"/>
          <w:szCs w:val="28"/>
          <w:highlight w:val="none"/>
        </w:rPr>
      </w:r>
      <w:r/>
    </w:p>
    <w:p>
      <w:pPr>
        <w:spacing w:after="120" w:line="640" w:lineRule="exact"/>
        <w:rPr>
          <w:rFonts w:ascii="宋体" w:hAnsi="宋体" w:cs="宋体"/>
          <w:color w:val="auto"/>
          <w:sz w:val="24"/>
          <w:szCs w:val="20"/>
          <w:highlight w:val="none"/>
        </w:rPr>
      </w:pPr>
      <w:r>
        <w:rPr>
          <w:rFonts w:hint="eastAsia" w:ascii="宋体" w:hAnsi="宋体" w:cs="宋体"/>
          <w:color w:val="auto"/>
          <w:sz w:val="24"/>
          <w:szCs w:val="20"/>
          <w:highlight w:val="none"/>
          <w:lang w:eastAsia="zh-CN"/>
        </w:rPr>
        <w:t xml:space="preserve">射阳县长荡镇人民政府</w:t>
      </w:r>
      <w:r>
        <w:rPr>
          <w:rFonts w:hint="eastAsia" w:ascii="宋体" w:hAnsi="宋体" w:cs="宋体"/>
          <w:color w:val="auto"/>
          <w:sz w:val="24"/>
          <w:szCs w:val="20"/>
          <w:highlight w:val="none"/>
        </w:rPr>
        <w:t xml:space="preserve">：</w:t>
      </w:r>
      <w:r/>
    </w:p>
    <w:p>
      <w:pPr>
        <w:ind w:firstLine="480"/>
        <w:spacing w:line="64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我公司具备履行采购文件“</w:t>
      </w:r>
      <w:r>
        <w:rPr>
          <w:rFonts w:hint="eastAsia" w:ascii="宋体" w:hAnsi="宋体" w:cs="宋体"/>
          <w:color w:val="auto"/>
          <w:sz w:val="24"/>
          <w:szCs w:val="20"/>
          <w:highlight w:val="none"/>
          <w:lang w:eastAsia="zh-CN"/>
        </w:rPr>
        <w:t xml:space="preserve">长荡镇胜利桥工业园区（西区）雨水管网改造提升项目</w:t>
      </w:r>
      <w:r>
        <w:rPr>
          <w:rFonts w:hint="eastAsia" w:ascii="宋体" w:hAnsi="宋体" w:cs="宋体"/>
          <w:color w:val="auto"/>
          <w:sz w:val="24"/>
          <w:szCs w:val="20"/>
          <w:highlight w:val="none"/>
        </w:rPr>
        <w:t xml:space="preserve">项目（项目编号</w:t>
      </w:r>
      <w:r>
        <w:rPr>
          <w:rFonts w:hint="eastAsia" w:ascii="宋体" w:hAnsi="宋体" w:cs="宋体"/>
          <w:color w:val="auto"/>
          <w:sz w:val="24"/>
          <w:szCs w:val="20"/>
          <w:highlight w:val="none"/>
          <w:lang w:eastAsia="zh-CN"/>
        </w:rPr>
        <w:t xml:space="preserve">：JSZC-320924-YCXD-C2026-0002</w:t>
      </w:r>
      <w:r>
        <w:rPr>
          <w:rFonts w:hint="eastAsia" w:ascii="宋体" w:hAnsi="宋体" w:cs="宋体"/>
          <w:color w:val="auto"/>
          <w:sz w:val="24"/>
          <w:szCs w:val="20"/>
          <w:highlight w:val="none"/>
          <w:lang w:val="en-US" w:eastAsia="zh-CN"/>
        </w:rPr>
        <w:t xml:space="preserve"> </w:t>
      </w:r>
      <w:r>
        <w:rPr>
          <w:rFonts w:hint="eastAsia" w:ascii="宋体" w:hAnsi="宋体" w:cs="宋体"/>
          <w:color w:val="auto"/>
          <w:sz w:val="24"/>
          <w:szCs w:val="20"/>
          <w:highlight w:val="none"/>
        </w:rPr>
        <w:t xml:space="preserve">）”合同的设备和专业技术能力。</w:t>
      </w:r>
      <w:r/>
    </w:p>
    <w:p>
      <w:pPr>
        <w:pStyle w:val="1254"/>
        <w:ind w:firstLine="480"/>
        <w:spacing w:line="6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特此声明。</w:t>
      </w:r>
      <w:r/>
    </w:p>
    <w:p>
      <w:pPr>
        <w:ind w:firstLine="480"/>
        <w:jc w:val="cente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jc w:val="cente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jc w:val="cente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jc w:val="cente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0"/>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投标</w:t>
      </w:r>
      <w:r>
        <w:rPr>
          <w:rFonts w:hint="eastAsia" w:ascii="宋体" w:hAnsi="宋体" w:cs="Segoe UI"/>
          <w:color w:val="auto"/>
          <w:sz w:val="24"/>
          <w:highlight w:val="none"/>
        </w:rPr>
        <w:t xml:space="preserve">单位</w:t>
      </w:r>
      <w:r>
        <w:rPr>
          <w:rFonts w:ascii="宋体" w:hAnsi="宋体" w:cs="Segoe UI"/>
          <w:color w:val="auto"/>
          <w:sz w:val="24"/>
          <w:highlight w:val="none"/>
        </w:rPr>
        <w:t xml:space="preserve">(电子签章)</w:t>
      </w:r>
      <w:r>
        <w:rPr>
          <w:rFonts w:hint="eastAsia" w:ascii="宋体" w:hAnsi="宋体" w:cs="Segoe UI"/>
          <w:color w:val="auto"/>
          <w:sz w:val="24"/>
          <w:highlight w:val="none"/>
        </w:rPr>
        <w:t xml:space="preserve">：</w:t>
      </w:r>
      <w:r/>
    </w:p>
    <w:p>
      <w:pPr>
        <w:ind w:firstLine="480"/>
        <w:jc w:val="right"/>
        <w:rPr>
          <w:rFonts w:ascii="宋体" w:hAnsi="宋体" w:cs="宋体"/>
          <w:color w:val="auto"/>
          <w:sz w:val="24"/>
          <w:szCs w:val="20"/>
          <w:highlight w:val="none"/>
        </w:rPr>
      </w:pPr>
      <w:r>
        <w:rPr>
          <w:rFonts w:ascii="宋体" w:hAnsi="宋体" w:cs="宋体"/>
          <w:color w:val="auto"/>
          <w:sz w:val="24"/>
          <w:szCs w:val="20"/>
          <w:highlight w:val="none"/>
        </w:rPr>
      </w:r>
      <w:r/>
    </w:p>
    <w:p>
      <w:pPr>
        <w:ind w:firstLine="480"/>
        <w:jc w:val="right"/>
        <w:rPr>
          <w:rFonts w:ascii="宋体" w:hAnsi="宋体" w:cs="宋体"/>
          <w:color w:val="auto"/>
          <w:sz w:val="24"/>
          <w:szCs w:val="20"/>
          <w:highlight w:val="none"/>
        </w:rPr>
      </w:pPr>
      <w:r>
        <w:rPr>
          <w:rFonts w:hint="eastAsia" w:ascii="宋体" w:hAnsi="宋体" w:cs="宋体"/>
          <w:color w:val="auto"/>
          <w:sz w:val="24"/>
          <w:szCs w:val="20"/>
          <w:highlight w:val="none"/>
        </w:rPr>
        <w:t xml:space="preserve">法定代表人或其被授权人（盖章或签字）：</w:t>
      </w:r>
      <w:r/>
    </w:p>
    <w:p>
      <w:pPr>
        <w:ind w:firstLine="480"/>
        <w:jc w:val="right"/>
        <w:rPr>
          <w:rFonts w:ascii="宋体" w:hAnsi="宋体" w:cs="宋体"/>
          <w:color w:val="auto"/>
          <w:sz w:val="24"/>
          <w:szCs w:val="20"/>
          <w:highlight w:val="none"/>
        </w:rPr>
      </w:pPr>
      <w:r>
        <w:rPr>
          <w:rFonts w:ascii="宋体" w:hAnsi="宋体" w:cs="宋体"/>
          <w:color w:val="auto"/>
          <w:sz w:val="24"/>
          <w:szCs w:val="20"/>
          <w:highlight w:val="none"/>
        </w:rPr>
      </w:r>
      <w:r/>
    </w:p>
    <w:p>
      <w:pPr>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年     月     日</w:t>
      </w:r>
      <w:bookmarkEnd w:id="236"/>
      <w:r/>
    </w:p>
    <w:p>
      <w:pPr>
        <w:pStyle w:val="1255"/>
        <w:ind w:firstLine="482"/>
        <w:rPr>
          <w:rFonts w:ascii="Tahoma" w:hAnsi="Tahoma"/>
          <w:color w:val="auto"/>
          <w:sz w:val="24"/>
          <w:highlight w:val="none"/>
        </w:rPr>
      </w:pPr>
      <w:r>
        <w:rPr>
          <w:rFonts w:ascii="Tahoma" w:hAnsi="Tahoma"/>
          <w:color w:val="auto"/>
          <w:sz w:val="24"/>
          <w:highlight w:val="none"/>
        </w:rPr>
      </w:r>
      <w:r/>
    </w:p>
    <w:p>
      <w:pPr>
        <w:jc w:val="center"/>
        <w:spacing w:before="120" w:after="120" w:line="460" w:lineRule="exact"/>
        <w:rPr>
          <w:rFonts w:ascii="宋体" w:hAnsi="Courier New"/>
          <w:b/>
          <w:color w:val="auto"/>
          <w:sz w:val="32"/>
          <w:szCs w:val="32"/>
          <w:highlight w:val="none"/>
        </w:rPr>
        <w:sectPr>
          <w:footnotePr/>
          <w:endnotePr/>
          <w:type w:val="nextPage"/>
          <w:pgSz w:w="11906" w:h="16838" w:orient="portrait"/>
          <w:pgMar w:top="1417" w:right="1417" w:bottom="1417" w:left="1418" w:header="851" w:footer="992" w:gutter="0"/>
          <w:cols w:num="1" w:sep="0" w:space="1701" w:equalWidth="1"/>
          <w:docGrid w:linePitch="360"/>
        </w:sectPr>
        <w:outlineLvl w:val="0"/>
      </w:pPr>
      <w:r>
        <w:rPr>
          <w:rFonts w:ascii="宋体" w:hAnsi="Courier New"/>
          <w:b/>
          <w:color w:val="auto"/>
          <w:sz w:val="32"/>
          <w:szCs w:val="32"/>
          <w:highlight w:val="none"/>
        </w:rPr>
      </w:r>
      <w:r/>
    </w:p>
    <w:p>
      <w:pPr>
        <w:jc w:val="center"/>
        <w:spacing w:line="360" w:lineRule="auto"/>
        <w:rPr>
          <w:rFonts w:ascii="黑体" w:hAnsi="宋体" w:eastAsia="黑体"/>
          <w:color w:val="auto"/>
          <w:sz w:val="32"/>
          <w:szCs w:val="32"/>
          <w:highlight w:val="none"/>
        </w:rPr>
      </w:pPr>
      <w:r/>
      <w:bookmarkStart w:id="238" w:name="_Toc151374125"/>
      <w:r/>
      <w:bookmarkStart w:id="239" w:name="_Toc68706657"/>
      <w:r/>
      <w:bookmarkStart w:id="240" w:name="_Toc154670211"/>
      <w:r>
        <w:rPr>
          <w:rFonts w:hint="eastAsia" w:ascii="Cambria" w:hAnsi="Cambria"/>
          <w:b/>
          <w:bCs/>
          <w:color w:val="auto"/>
          <w:sz w:val="32"/>
          <w:szCs w:val="32"/>
          <w:highlight w:val="none"/>
          <w:lang w:val="en-US" w:eastAsia="zh-CN"/>
        </w:rPr>
        <w:t xml:space="preserve">7</w:t>
      </w:r>
      <w:r>
        <w:rPr>
          <w:rFonts w:hint="eastAsia" w:ascii="Cambria" w:hAnsi="Cambria"/>
          <w:b/>
          <w:bCs/>
          <w:color w:val="auto"/>
          <w:sz w:val="32"/>
          <w:szCs w:val="32"/>
          <w:highlight w:val="none"/>
        </w:rPr>
        <w:t xml:space="preserve">、中小企业声明函</w:t>
      </w:r>
      <w:bookmarkEnd w:id="238"/>
      <w:r/>
      <w:bookmarkEnd w:id="239"/>
      <w:r/>
      <w:bookmarkEnd w:id="240"/>
      <w:r/>
      <w:bookmarkStart w:id="241" w:name="_Toc151374126"/>
      <w:r/>
      <w:bookmarkStart w:id="242" w:name="_Toc101357907"/>
      <w:r/>
      <w:bookmarkStart w:id="243" w:name="_Toc154670212"/>
      <w:r/>
      <w:r/>
    </w:p>
    <w:p>
      <w:pPr>
        <w:ind w:firstLine="141"/>
        <w:spacing w:line="240" w:lineRule="exact"/>
        <w:rPr>
          <w:rFonts w:ascii="黑体" w:hAnsi="宋体" w:eastAsia="黑体"/>
          <w:b/>
          <w:bCs/>
          <w:color w:val="auto"/>
          <w:sz w:val="28"/>
          <w:szCs w:val="28"/>
          <w:highlight w:val="none"/>
        </w:rPr>
      </w:pPr>
      <w:r>
        <w:rPr>
          <w:rFonts w:ascii="黑体" w:hAnsi="宋体" w:eastAsia="黑体"/>
          <w:b/>
          <w:bCs/>
          <w:color w:val="auto"/>
          <w:sz w:val="28"/>
          <w:szCs w:val="28"/>
          <w:highlight w:val="none"/>
        </w:rPr>
      </w:r>
      <w:r/>
    </w:p>
    <w:p>
      <w:pPr>
        <w:ind w:firstLine="420"/>
        <w:jc w:val="left"/>
        <w:keepLines w:val="0"/>
        <w:keepNext w:val="0"/>
        <w:pageBreakBefore w:val="0"/>
        <w:spacing w:line="440" w:lineRule="exact"/>
        <w:widowControl/>
        <w:rPr>
          <w:rFonts w:hint="eastAsia" w:hAnsi="宋体" w:eastAsia="宋体" w:cs="宋体"/>
          <w:b w:val="0"/>
          <w:bCs w:val="0"/>
          <w:i w:val="0"/>
          <w:iCs/>
          <w:color w:val="auto"/>
          <w:szCs w:val="28"/>
          <w:highlight w:val="none"/>
        </w:rPr>
      </w:pPr>
      <w:r>
        <w:rPr>
          <w:rFonts w:hint="eastAsia" w:hAnsi="宋体" w:eastAsia="宋体" w:cs="宋体"/>
          <w:color w:val="auto"/>
          <w:szCs w:val="28"/>
          <w:highlight w:val="none"/>
        </w:rPr>
        <w:t xml:space="preserve">本公司（联合体）郑重声明，根据《政府采购促进中小企业发展管理办法》（财库﹝2020﹞46 号）的规定，本公司（联合体）参加</w:t>
      </w:r>
      <w:r>
        <w:rPr>
          <w:rFonts w:hint="eastAsia" w:hAnsi="宋体" w:eastAsia="宋体" w:cs="宋体"/>
          <w:b w:val="0"/>
          <w:bCs w:val="0"/>
          <w:i w:val="0"/>
          <w:iCs/>
          <w:color w:val="auto"/>
          <w:szCs w:val="28"/>
          <w:highlight w:val="none"/>
          <w:u w:val="single"/>
        </w:rPr>
        <w:t xml:space="preserve">（单位名称）</w:t>
      </w:r>
      <w:r>
        <w:rPr>
          <w:rFonts w:hint="eastAsia" w:hAnsi="宋体" w:eastAsia="宋体" w:cs="宋体"/>
          <w:b w:val="0"/>
          <w:bCs w:val="0"/>
          <w:i w:val="0"/>
          <w:iCs/>
          <w:color w:val="auto"/>
          <w:szCs w:val="28"/>
          <w:highlight w:val="none"/>
        </w:rPr>
        <w:t xml:space="preserve">的</w:t>
      </w:r>
      <w:r>
        <w:rPr>
          <w:rFonts w:hint="eastAsia" w:hAnsi="宋体" w:eastAsia="宋体" w:cs="宋体"/>
          <w:b w:val="0"/>
          <w:bCs w:val="0"/>
          <w:i w:val="0"/>
          <w:iCs/>
          <w:color w:val="auto"/>
          <w:szCs w:val="28"/>
          <w:highlight w:val="none"/>
          <w:u w:val="single"/>
        </w:rPr>
        <w:t xml:space="preserve">（项目名称）</w:t>
      </w:r>
      <w:r>
        <w:rPr>
          <w:rFonts w:hint="eastAsia" w:hAnsi="宋体" w:eastAsia="宋体" w:cs="宋体"/>
          <w:b w:val="0"/>
          <w:bCs w:val="0"/>
          <w:i w:val="0"/>
          <w:iCs/>
          <w:color w:val="auto"/>
          <w:szCs w:val="28"/>
          <w:highlight w:val="none"/>
        </w:rPr>
        <w:t xml:space="preserve">采购活动，服务全部由符合政策要求的中小企业承接。相关企业（含联合体中的中小企业、签订分包意向协议的中小企业）的具体情况如下：</w:t>
      </w:r>
      <w:r/>
    </w:p>
    <w:p>
      <w:pPr>
        <w:ind w:firstLine="420"/>
        <w:jc w:val="left"/>
        <w:keepLines w:val="0"/>
        <w:keepNext w:val="0"/>
        <w:pageBreakBefore w:val="0"/>
        <w:spacing w:line="440" w:lineRule="exact"/>
        <w:widowControl/>
        <w:rPr>
          <w:rFonts w:hint="eastAsia" w:hAnsi="宋体" w:eastAsia="宋体" w:cs="宋体"/>
          <w:b w:val="0"/>
          <w:bCs w:val="0"/>
          <w:i w:val="0"/>
          <w:iCs/>
          <w:color w:val="auto"/>
          <w:szCs w:val="28"/>
          <w:highlight w:val="none"/>
        </w:rPr>
      </w:pPr>
      <w:r>
        <w:rPr>
          <w:rFonts w:hint="eastAsia" w:hAnsi="宋体" w:eastAsia="宋体" w:cs="宋体"/>
          <w:b w:val="0"/>
          <w:bCs w:val="0"/>
          <w:i w:val="0"/>
          <w:iCs/>
          <w:color w:val="auto"/>
          <w:szCs w:val="28"/>
          <w:highlight w:val="none"/>
        </w:rPr>
        <w:t xml:space="preserve">1. </w:t>
      </w:r>
      <w:r>
        <w:rPr>
          <w:rFonts w:hint="eastAsia" w:hAnsi="宋体" w:eastAsia="宋体" w:cs="宋体"/>
          <w:b w:val="0"/>
          <w:bCs w:val="0"/>
          <w:i w:val="0"/>
          <w:iCs/>
          <w:color w:val="auto"/>
          <w:szCs w:val="28"/>
          <w:highlight w:val="none"/>
          <w:u w:val="single"/>
        </w:rPr>
        <w:t xml:space="preserve">（标的名称） </w:t>
      </w:r>
      <w:r>
        <w:rPr>
          <w:rFonts w:hint="eastAsia" w:hAnsi="宋体" w:eastAsia="宋体" w:cs="宋体"/>
          <w:b w:val="0"/>
          <w:bCs w:val="0"/>
          <w:i w:val="0"/>
          <w:iCs/>
          <w:color w:val="auto"/>
          <w:szCs w:val="28"/>
          <w:highlight w:val="none"/>
        </w:rPr>
        <w:t xml:space="preserve">，属于</w:t>
      </w:r>
      <w:r>
        <w:rPr>
          <w:rFonts w:hint="eastAsia" w:hAnsi="宋体" w:eastAsia="宋体" w:cs="宋体"/>
          <w:b w:val="0"/>
          <w:bCs w:val="0"/>
          <w:i w:val="0"/>
          <w:iCs/>
          <w:color w:val="auto"/>
          <w:szCs w:val="28"/>
          <w:highlight w:val="none"/>
          <w:u w:val="single"/>
        </w:rPr>
        <w:t xml:space="preserve">（采购文件中明确的所属行业）</w:t>
      </w:r>
      <w:r>
        <w:rPr>
          <w:rFonts w:hint="eastAsia" w:hAnsi="宋体" w:eastAsia="宋体" w:cs="宋体"/>
          <w:b w:val="0"/>
          <w:bCs w:val="0"/>
          <w:i w:val="0"/>
          <w:iCs/>
          <w:color w:val="auto"/>
          <w:szCs w:val="28"/>
          <w:highlight w:val="none"/>
        </w:rPr>
        <w:t xml:space="preserve">；承接企业为</w:t>
      </w:r>
      <w:r>
        <w:rPr>
          <w:rFonts w:hint="eastAsia" w:hAnsi="宋体" w:eastAsia="宋体" w:cs="宋体"/>
          <w:b w:val="0"/>
          <w:bCs w:val="0"/>
          <w:i w:val="0"/>
          <w:iCs/>
          <w:color w:val="auto"/>
          <w:szCs w:val="28"/>
          <w:highlight w:val="none"/>
          <w:u w:val="single"/>
        </w:rPr>
        <w:t xml:space="preserve">（企业名称）</w:t>
      </w:r>
      <w:r>
        <w:rPr>
          <w:rFonts w:hint="eastAsia" w:hAnsi="宋体" w:eastAsia="宋体" w:cs="宋体"/>
          <w:b w:val="0"/>
          <w:bCs w:val="0"/>
          <w:i w:val="0"/>
          <w:iCs/>
          <w:color w:val="auto"/>
          <w:szCs w:val="28"/>
          <w:highlight w:val="none"/>
        </w:rPr>
        <w:t xml:space="preserve">，从业人员人，营业收入为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 xml:space="preserve">万元，资产总额为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 xml:space="preserve">万元，属于</w:t>
      </w:r>
      <w:r>
        <w:rPr>
          <w:rFonts w:hint="eastAsia" w:hAnsi="宋体" w:eastAsia="宋体" w:cs="宋体"/>
          <w:b w:val="0"/>
          <w:bCs w:val="0"/>
          <w:i w:val="0"/>
          <w:iCs/>
          <w:color w:val="auto"/>
          <w:szCs w:val="28"/>
          <w:highlight w:val="none"/>
          <w:u w:val="single"/>
        </w:rPr>
        <w:t xml:space="preserve">（中型企业、小型企业、微型企业）</w:t>
      </w:r>
      <w:r>
        <w:rPr>
          <w:rFonts w:hint="eastAsia" w:hAnsi="宋体" w:eastAsia="宋体" w:cs="宋体"/>
          <w:b w:val="0"/>
          <w:bCs w:val="0"/>
          <w:i w:val="0"/>
          <w:iCs/>
          <w:color w:val="auto"/>
          <w:szCs w:val="28"/>
          <w:highlight w:val="none"/>
        </w:rPr>
        <w:t xml:space="preserve">； </w:t>
      </w:r>
      <w:r/>
    </w:p>
    <w:p>
      <w:pPr>
        <w:ind w:firstLine="420"/>
        <w:jc w:val="left"/>
        <w:keepLines w:val="0"/>
        <w:keepNext w:val="0"/>
        <w:pageBreakBefore w:val="0"/>
        <w:spacing w:line="440" w:lineRule="exact"/>
        <w:widowControl/>
        <w:rPr>
          <w:rFonts w:hint="eastAsia" w:hAnsi="宋体" w:eastAsia="宋体" w:cs="宋体"/>
          <w:b w:val="0"/>
          <w:bCs w:val="0"/>
          <w:i w:val="0"/>
          <w:iCs/>
          <w:color w:val="auto"/>
          <w:szCs w:val="28"/>
          <w:highlight w:val="none"/>
        </w:rPr>
      </w:pPr>
      <w:r>
        <w:rPr>
          <w:rFonts w:hint="eastAsia" w:hAnsi="宋体" w:eastAsia="宋体" w:cs="宋体"/>
          <w:b w:val="0"/>
          <w:bCs w:val="0"/>
          <w:i w:val="0"/>
          <w:iCs/>
          <w:color w:val="auto"/>
          <w:szCs w:val="28"/>
          <w:highlight w:val="none"/>
        </w:rPr>
        <w:t xml:space="preserve">2.</w:t>
      </w:r>
      <w:r>
        <w:rPr>
          <w:rFonts w:hint="eastAsia" w:hAnsi="宋体" w:eastAsia="宋体" w:cs="宋体"/>
          <w:b w:val="0"/>
          <w:bCs w:val="0"/>
          <w:i w:val="0"/>
          <w:iCs/>
          <w:color w:val="auto"/>
          <w:szCs w:val="28"/>
          <w:highlight w:val="none"/>
          <w:u w:val="single"/>
        </w:rPr>
        <w:t xml:space="preserve"> （标的名称）</w:t>
      </w:r>
      <w:r>
        <w:rPr>
          <w:rFonts w:hint="eastAsia" w:hAnsi="宋体" w:eastAsia="宋体" w:cs="宋体"/>
          <w:b w:val="0"/>
          <w:bCs w:val="0"/>
          <w:i w:val="0"/>
          <w:iCs/>
          <w:color w:val="auto"/>
          <w:szCs w:val="28"/>
          <w:highlight w:val="none"/>
        </w:rPr>
        <w:t xml:space="preserve"> ，属于</w:t>
      </w:r>
      <w:r>
        <w:rPr>
          <w:rFonts w:hint="eastAsia" w:hAnsi="宋体" w:eastAsia="宋体" w:cs="宋体"/>
          <w:b w:val="0"/>
          <w:bCs w:val="0"/>
          <w:i w:val="0"/>
          <w:iCs/>
          <w:color w:val="auto"/>
          <w:szCs w:val="28"/>
          <w:highlight w:val="none"/>
          <w:u w:val="single"/>
        </w:rPr>
        <w:t xml:space="preserve">（采购文件中明确的所属行业）</w:t>
      </w:r>
      <w:r>
        <w:rPr>
          <w:rFonts w:hint="eastAsia" w:hAnsi="宋体" w:eastAsia="宋体" w:cs="宋体"/>
          <w:b w:val="0"/>
          <w:bCs w:val="0"/>
          <w:i w:val="0"/>
          <w:iCs/>
          <w:color w:val="auto"/>
          <w:szCs w:val="28"/>
          <w:highlight w:val="none"/>
        </w:rPr>
        <w:t xml:space="preserve">；承接企业为</w:t>
      </w:r>
      <w:r>
        <w:rPr>
          <w:rFonts w:hint="eastAsia" w:hAnsi="宋体" w:eastAsia="宋体" w:cs="宋体"/>
          <w:b w:val="0"/>
          <w:bCs w:val="0"/>
          <w:i w:val="0"/>
          <w:iCs/>
          <w:color w:val="auto"/>
          <w:szCs w:val="28"/>
          <w:highlight w:val="none"/>
          <w:u w:val="single"/>
        </w:rPr>
        <w:t xml:space="preserve">（企业名称）</w:t>
      </w:r>
      <w:r>
        <w:rPr>
          <w:rFonts w:hint="eastAsia" w:hAnsi="宋体" w:eastAsia="宋体" w:cs="宋体"/>
          <w:b w:val="0"/>
          <w:bCs w:val="0"/>
          <w:i w:val="0"/>
          <w:iCs/>
          <w:color w:val="auto"/>
          <w:szCs w:val="28"/>
          <w:highlight w:val="none"/>
        </w:rPr>
        <w:t xml:space="preserve">，从业人员人，营业收入为 </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 xml:space="preserve">万元</w:t>
      </w:r>
      <w:r>
        <w:rPr>
          <w:rStyle w:val="1093"/>
          <w:rFonts w:hint="eastAsia" w:hAnsi="宋体" w:cs="宋体"/>
          <w:b w:val="0"/>
          <w:bCs w:val="0"/>
          <w:i w:val="0"/>
          <w:iCs/>
          <w:color w:val="auto"/>
          <w:szCs w:val="28"/>
          <w:highlight w:val="none"/>
        </w:rPr>
        <w:footnoteReference w:id="2"/>
      </w:r>
      <w:r>
        <w:rPr>
          <w:rFonts w:hint="eastAsia" w:hAnsi="宋体" w:eastAsia="宋体" w:cs="宋体"/>
          <w:b w:val="0"/>
          <w:bCs w:val="0"/>
          <w:i w:val="0"/>
          <w:iCs/>
          <w:color w:val="auto"/>
          <w:szCs w:val="28"/>
          <w:highlight w:val="none"/>
        </w:rPr>
        <w:t xml:space="preserve">，资产总额为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 xml:space="preserve">万元，属于</w:t>
      </w:r>
      <w:r>
        <w:rPr>
          <w:rFonts w:hint="eastAsia" w:hAnsi="宋体" w:eastAsia="宋体" w:cs="宋体"/>
          <w:b w:val="0"/>
          <w:bCs w:val="0"/>
          <w:i w:val="0"/>
          <w:iCs/>
          <w:color w:val="auto"/>
          <w:szCs w:val="28"/>
          <w:highlight w:val="none"/>
          <w:u w:val="single"/>
        </w:rPr>
        <w:t xml:space="preserve">（中型企业、小型企业、微型企业）</w:t>
      </w:r>
      <w:r>
        <w:rPr>
          <w:rFonts w:hint="eastAsia" w:hAnsi="宋体" w:eastAsia="宋体" w:cs="宋体"/>
          <w:b w:val="0"/>
          <w:bCs w:val="0"/>
          <w:i w:val="0"/>
          <w:iCs/>
          <w:color w:val="auto"/>
          <w:szCs w:val="28"/>
          <w:highlight w:val="none"/>
        </w:rPr>
        <w:t xml:space="preserve">； </w:t>
      </w:r>
      <w:r/>
    </w:p>
    <w:p>
      <w:pPr>
        <w:ind w:firstLine="420"/>
        <w:jc w:val="left"/>
        <w:keepLines w:val="0"/>
        <w:keepNext w:val="0"/>
        <w:pageBreakBefore w:val="0"/>
        <w:spacing w:line="440" w:lineRule="exact"/>
        <w:widowControl/>
        <w:rPr>
          <w:rFonts w:hint="eastAsia" w:hAnsi="宋体" w:eastAsia="宋体" w:cs="宋体"/>
          <w:color w:val="auto"/>
          <w:szCs w:val="28"/>
          <w:highlight w:val="none"/>
        </w:rPr>
      </w:pPr>
      <w:r>
        <w:rPr>
          <w:rFonts w:hint="eastAsia" w:hAnsi="宋体" w:eastAsia="宋体" w:cs="宋体"/>
          <w:color w:val="auto"/>
          <w:szCs w:val="28"/>
          <w:highlight w:val="none"/>
        </w:rPr>
        <w:t xml:space="preserve">……</w:t>
      </w:r>
      <w:r/>
    </w:p>
    <w:p>
      <w:pPr>
        <w:ind w:firstLine="420"/>
        <w:jc w:val="left"/>
        <w:keepLines w:val="0"/>
        <w:keepNext w:val="0"/>
        <w:pageBreakBefore w:val="0"/>
        <w:spacing w:line="440" w:lineRule="exact"/>
        <w:widowControl/>
        <w:rPr>
          <w:rFonts w:hint="eastAsia" w:hAnsi="宋体" w:eastAsia="宋体" w:cs="宋体"/>
          <w:color w:val="auto"/>
          <w:szCs w:val="28"/>
          <w:highlight w:val="none"/>
        </w:rPr>
      </w:pPr>
      <w:r>
        <w:rPr>
          <w:rFonts w:hint="eastAsia" w:hAnsi="宋体" w:eastAsia="宋体" w:cs="宋体"/>
          <w:color w:val="auto"/>
          <w:szCs w:val="28"/>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rPr>
          <w:rFonts w:hint="eastAsia" w:hAnsi="宋体" w:eastAsia="宋体" w:cs="宋体"/>
          <w:color w:val="auto"/>
          <w:szCs w:val="28"/>
          <w:highlight w:val="none"/>
        </w:rPr>
      </w:pPr>
      <w:r>
        <w:rPr>
          <w:rFonts w:hint="eastAsia" w:hAnsi="宋体" w:eastAsia="宋体" w:cs="宋体"/>
          <w:color w:val="auto"/>
          <w:szCs w:val="28"/>
          <w:highlight w:val="none"/>
        </w:rPr>
        <w:t xml:space="preserve">本企业对上述声明内容的真实性负责。如有虚假，将依法承担相应责任。 </w:t>
      </w:r>
      <w:r/>
    </w:p>
    <w:p>
      <w:pPr>
        <w:pStyle w:val="1088"/>
        <w:ind w:firstLine="240"/>
        <w:rPr>
          <w:rFonts w:hint="eastAsia" w:hAnsi="宋体" w:eastAsia="宋体" w:cs="宋体"/>
          <w:color w:val="auto"/>
          <w:highlight w:val="none"/>
        </w:rPr>
      </w:pPr>
      <w:r>
        <w:rPr>
          <w:rFonts w:hint="eastAsia" w:hAnsi="宋体" w:eastAsia="宋体" w:cs="宋体"/>
          <w:color w:val="auto"/>
          <w:highlight w:val="none"/>
        </w:rPr>
      </w:r>
      <w:r/>
    </w:p>
    <w:p>
      <w:pPr>
        <w:ind w:firstLine="3570"/>
        <w:jc w:val="left"/>
        <w:widowControl/>
        <w:rPr>
          <w:rFonts w:hint="eastAsia" w:hAnsi="宋体" w:eastAsia="宋体" w:cs="宋体"/>
          <w:color w:val="auto"/>
          <w:szCs w:val="28"/>
          <w:highlight w:val="none"/>
        </w:rPr>
      </w:pPr>
      <w:r>
        <w:rPr>
          <w:rFonts w:hint="eastAsia" w:hAnsi="宋体" w:eastAsia="宋体" w:cs="宋体"/>
          <w:color w:val="auto"/>
          <w:szCs w:val="28"/>
          <w:highlight w:val="none"/>
        </w:rPr>
      </w:r>
      <w:r/>
    </w:p>
    <w:p>
      <w:pPr>
        <w:ind w:firstLine="3570"/>
        <w:jc w:val="left"/>
        <w:widowControl/>
        <w:rPr>
          <w:rFonts w:hint="eastAsia" w:hAnsi="宋体" w:eastAsia="宋体" w:cs="宋体"/>
          <w:color w:val="auto"/>
          <w:szCs w:val="28"/>
          <w:highlight w:val="none"/>
        </w:rPr>
      </w:pPr>
      <w:r>
        <w:rPr>
          <w:rFonts w:hint="eastAsia" w:hAnsi="宋体" w:eastAsia="宋体" w:cs="宋体"/>
          <w:color w:val="auto"/>
          <w:szCs w:val="28"/>
          <w:highlight w:val="none"/>
        </w:rPr>
      </w:r>
      <w:r/>
    </w:p>
    <w:p>
      <w:pPr>
        <w:ind w:firstLine="3780"/>
        <w:jc w:val="left"/>
        <w:keepLines w:val="0"/>
        <w:keepNext w:val="0"/>
        <w:pageBreakBefore w:val="0"/>
        <w:spacing w:line="440" w:lineRule="exact"/>
        <w:widowControl/>
        <w:rPr>
          <w:rFonts w:hint="eastAsia" w:hAnsi="宋体" w:eastAsia="宋体" w:cs="宋体"/>
          <w:color w:val="auto"/>
          <w:szCs w:val="28"/>
          <w:highlight w:val="none"/>
        </w:rPr>
      </w:pPr>
      <w:r>
        <w:rPr>
          <w:rFonts w:hint="eastAsia" w:hAnsi="宋体" w:eastAsia="宋体" w:cs="宋体"/>
          <w:color w:val="auto"/>
          <w:szCs w:val="28"/>
          <w:highlight w:val="none"/>
        </w:rPr>
        <w:t xml:space="preserve">企业名称（盖章）： </w:t>
      </w:r>
      <w:r/>
    </w:p>
    <w:p>
      <w:pPr>
        <w:pStyle w:val="1088"/>
        <w:ind w:firstLine="3780"/>
        <w:keepLines w:val="0"/>
        <w:keepNext w:val="0"/>
        <w:pageBreakBefore w:val="0"/>
        <w:spacing w:after="0" w:line="440" w:lineRule="exact"/>
        <w:rPr>
          <w:rFonts w:hint="eastAsia" w:hAnsi="宋体" w:eastAsia="宋体" w:cs="宋体" w:asciiTheme="minorHAnsi"/>
          <w:color w:val="auto"/>
          <w:sz w:val="21"/>
          <w:szCs w:val="28"/>
          <w:highlight w:val="none"/>
          <w:lang w:val="en-US" w:eastAsia="zh-CN" w:bidi="ar-SA"/>
        </w:rPr>
      </w:pPr>
      <w:r>
        <w:rPr>
          <w:rFonts w:hint="eastAsia" w:hAnsi="宋体" w:eastAsia="宋体" w:cs="宋体" w:asciiTheme="minorHAnsi"/>
          <w:color w:val="auto"/>
          <w:sz w:val="21"/>
          <w:szCs w:val="28"/>
          <w:highlight w:val="none"/>
          <w:lang w:val="en-US" w:eastAsia="zh-CN" w:bidi="ar-SA"/>
        </w:rPr>
        <w:t xml:space="preserve">日    期</w:t>
      </w:r>
      <w:r>
        <w:rPr>
          <w:rFonts w:hint="eastAsia" w:hAnsi="宋体" w:eastAsia="宋体" w:cs="宋体"/>
          <w:color w:val="auto"/>
          <w:sz w:val="21"/>
          <w:szCs w:val="28"/>
          <w:highlight w:val="none"/>
          <w:lang w:val="en-US" w:eastAsia="zh-CN" w:bidi="ar-SA"/>
        </w:rPr>
        <w:t xml:space="preserve">：</w:t>
      </w:r>
      <w:r/>
    </w:p>
    <w:p>
      <w:pPr>
        <w:pStyle w:val="1081"/>
        <w:rPr>
          <w:rFonts w:hint="eastAsia"/>
          <w:color w:val="auto"/>
          <w:highlight w:val="none"/>
        </w:rPr>
      </w:pPr>
      <w:r>
        <w:rPr>
          <w:rFonts w:hint="eastAsia"/>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080"/>
        <w:rPr>
          <w:color w:val="auto"/>
          <w:highlight w:val="none"/>
        </w:rPr>
      </w:pPr>
      <w:r>
        <w:rPr>
          <w:color w:val="auto"/>
          <w:highlight w:val="none"/>
        </w:rPr>
      </w:r>
      <w:r/>
    </w:p>
    <w:p>
      <w:pPr>
        <w:pStyle w:val="1244"/>
        <w:spacing w:line="520" w:lineRule="atLeast"/>
        <w:rPr>
          <w:rFonts w:hint="eastAsia"/>
          <w:color w:val="auto"/>
          <w:highlight w:val="none"/>
        </w:rPr>
      </w:pPr>
      <w:r>
        <w:rPr>
          <w:rFonts w:hint="eastAsia" w:ascii="等线" w:hAnsi="等线" w:eastAsia="等线"/>
          <w:color w:val="auto"/>
          <w:sz w:val="28"/>
          <w:szCs w:val="28"/>
          <w:highlight w:val="none"/>
        </w:rPr>
        <w:t xml:space="preserve">（备注：供应商如不提供此声明函，</w:t>
      </w:r>
      <w:r>
        <w:rPr>
          <w:rFonts w:hint="eastAsia" w:ascii="等线" w:hAnsi="等线" w:eastAsia="等线"/>
          <w:color w:val="auto"/>
          <w:sz w:val="28"/>
          <w:szCs w:val="28"/>
          <w:highlight w:val="none"/>
          <w:lang w:val="en-US" w:eastAsia="zh-CN"/>
        </w:rPr>
        <w:t xml:space="preserve">将作为无效投标人处理</w:t>
      </w:r>
      <w:r>
        <w:rPr>
          <w:rFonts w:hint="eastAsia" w:ascii="等线" w:hAnsi="等线" w:eastAsia="等线"/>
          <w:color w:val="auto"/>
          <w:sz w:val="28"/>
          <w:szCs w:val="28"/>
          <w:highlight w:val="none"/>
        </w:rPr>
        <w:t xml:space="preserve">。）</w:t>
      </w:r>
      <w:bookmarkEnd w:id="241"/>
      <w:r/>
      <w:bookmarkEnd w:id="242"/>
      <w:r/>
      <w:bookmarkEnd w:id="243"/>
      <w:r/>
      <w:bookmarkStart w:id="244" w:name="_Toc83487569"/>
      <w:r/>
      <w:bookmarkEnd w:id="244"/>
      <w:r/>
      <w:bookmarkStart w:id="245" w:name="_Toc101357908"/>
      <w:r/>
      <w:bookmarkStart w:id="246" w:name="_Toc151374127"/>
      <w:r/>
      <w:bookmarkStart w:id="247" w:name="_Toc154670213"/>
      <w:r/>
      <w:bookmarkStart w:id="248" w:name="_Toc101166962"/>
      <w:r/>
      <w:r/>
    </w:p>
    <w:p>
      <w:pPr>
        <w:jc w:val="center"/>
        <w:spacing w:line="460" w:lineRule="exact"/>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jc w:val="center"/>
        <w:spacing w:line="460" w:lineRule="exact"/>
        <w:rPr>
          <w:rFonts w:hint="eastAsia" w:ascii="黑体" w:hAnsi="宋体" w:eastAsia="黑体"/>
          <w:bCs/>
          <w:color w:val="auto"/>
          <w:sz w:val="32"/>
          <w:szCs w:val="32"/>
          <w:highlight w:val="none"/>
          <w:lang w:val="en-US" w:eastAsia="zh-CN"/>
        </w:rPr>
      </w:pPr>
      <w:r>
        <w:rPr>
          <w:rFonts w:hint="eastAsia" w:ascii="黑体" w:hAnsi="宋体" w:eastAsia="黑体"/>
          <w:bCs/>
          <w:color w:val="auto"/>
          <w:sz w:val="32"/>
          <w:szCs w:val="32"/>
          <w:highlight w:val="none"/>
          <w:lang w:val="en-US" w:eastAsia="zh-CN"/>
        </w:rPr>
      </w:r>
      <w:r/>
    </w:p>
    <w:p>
      <w:pPr>
        <w:jc w:val="center"/>
        <w:spacing w:line="460" w:lineRule="exact"/>
        <w:rPr>
          <w:rFonts w:hint="eastAsia" w:ascii="黑体" w:hAnsi="宋体" w:eastAsia="黑体"/>
          <w:color w:val="auto"/>
          <w:sz w:val="32"/>
          <w:szCs w:val="32"/>
          <w:highlight w:val="none"/>
        </w:rPr>
      </w:pPr>
      <w:r>
        <w:rPr>
          <w:rFonts w:hint="eastAsia" w:ascii="黑体" w:hAnsi="宋体" w:eastAsia="黑体"/>
          <w:bCs/>
          <w:color w:val="auto"/>
          <w:sz w:val="32"/>
          <w:szCs w:val="32"/>
          <w:highlight w:val="none"/>
        </w:rPr>
      </w:r>
      <w:r>
        <w:rPr>
          <w:rFonts w:hint="eastAsia" w:ascii="黑体" w:hAnsi="宋体" w:eastAsia="黑体"/>
          <w:bCs/>
          <w:color w:val="auto"/>
          <w:sz w:val="32"/>
          <w:szCs w:val="32"/>
          <w:highlight w:val="none"/>
        </w:rPr>
      </w:r>
    </w:p>
    <w:p>
      <w:pPr>
        <w:jc w:val="center"/>
        <w:spacing w:line="460" w:lineRule="exact"/>
        <w:rPr>
          <w:rFonts w:hint="eastAsia" w:ascii="黑体" w:hAnsi="宋体" w:eastAsia="黑体"/>
          <w:color w:val="auto"/>
          <w:sz w:val="32"/>
          <w:szCs w:val="32"/>
          <w:highlight w:val="none"/>
        </w:rPr>
      </w:pPr>
      <w:r>
        <w:rPr>
          <w:rFonts w:hint="eastAsia" w:ascii="黑体" w:hAnsi="宋体" w:eastAsia="黑体"/>
          <w:bCs/>
          <w:color w:val="auto"/>
          <w:sz w:val="32"/>
          <w:szCs w:val="32"/>
          <w:highlight w:val="none"/>
          <w:lang w:val="en-US" w:eastAsia="zh-CN"/>
        </w:rPr>
        <w:t xml:space="preserve">8</w:t>
      </w:r>
      <w:r>
        <w:rPr>
          <w:rFonts w:hint="eastAsia" w:ascii="黑体" w:hAnsi="宋体" w:eastAsia="黑体"/>
          <w:bCs/>
          <w:color w:val="auto"/>
          <w:sz w:val="32"/>
          <w:szCs w:val="32"/>
          <w:highlight w:val="none"/>
        </w:rPr>
        <w:t xml:space="preserve">、资格性检查响应对照表（格式）</w:t>
      </w:r>
      <w:r/>
    </w:p>
    <w:p>
      <w:pPr>
        <w:ind w:firstLine="309"/>
        <w:rPr>
          <w:rFonts w:hint="eastAsia" w:hAnsi="宋体" w:eastAsia="宋体"/>
          <w:color w:val="auto"/>
          <w:sz w:val="24"/>
          <w:highlight w:val="none"/>
        </w:rPr>
      </w:pPr>
      <w:r>
        <w:rPr>
          <w:rFonts w:hint="eastAsia" w:hAnsi="宋体" w:eastAsia="宋体"/>
          <w:color w:val="auto"/>
          <w:sz w:val="24"/>
          <w:highlight w:val="none"/>
        </w:rPr>
        <w:t xml:space="preserve">投标人全称（加盖公章）：</w:t>
      </w:r>
      <w:r/>
    </w:p>
    <w:tbl>
      <w:tblPr>
        <w:tblStyle w:val="1060"/>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631"/>
        <w:gridCol w:w="1545"/>
        <w:gridCol w:w="1755"/>
      </w:tblGrid>
      <w:tr>
        <w:trPr>
          <w:jc w:val="center"/>
          <w:trHeight w:val="882"/>
        </w:trPr>
        <w:tc>
          <w:tcPr>
            <w:tcW w:w="648"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序号</w:t>
            </w:r>
            <w:r/>
          </w:p>
        </w:tc>
        <w:tc>
          <w:tcPr>
            <w:tcW w:w="5631"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资格性检查响应内容</w:t>
            </w:r>
            <w:r/>
          </w:p>
        </w:tc>
        <w:tc>
          <w:tcPr>
            <w:tcW w:w="1545" w:type="dxa"/>
            <w:vAlign w:val="center"/>
            <w:textDirection w:val="lrTb"/>
            <w:noWrap w:val="false"/>
          </w:tcPr>
          <w:p>
            <w:pP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是否响应（填是或者否）</w:t>
            </w:r>
            <w:r/>
          </w:p>
        </w:tc>
        <w:tc>
          <w:tcPr>
            <w:tcW w:w="1755"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响应文件中的</w:t>
            </w:r>
            <w:r/>
          </w:p>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页码位置</w:t>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1</w:t>
            </w:r>
            <w:r/>
          </w:p>
        </w:tc>
        <w:tc>
          <w:tcPr>
            <w:tcW w:w="5631" w:type="dxa"/>
            <w:vAlign w:val="center"/>
            <w:textDirection w:val="lrTb"/>
            <w:noWrap w:val="false"/>
          </w:tcPr>
          <w:p>
            <w:pPr>
              <w:rPr>
                <w:rFonts w:hint="eastAsia" w:hAnsi="宋体" w:eastAsia="宋体" w:cs="宋体"/>
                <w:iCs/>
                <w:color w:val="auto"/>
                <w:sz w:val="24"/>
                <w:highlight w:val="none"/>
              </w:rPr>
            </w:pPr>
            <w:r>
              <w:rPr>
                <w:rFonts w:hint="eastAsia" w:hAnsi="宋体" w:eastAsia="宋体" w:cs="宋体"/>
                <w:iCs/>
                <w:color w:val="auto"/>
                <w:sz w:val="24"/>
                <w:szCs w:val="24"/>
                <w:highlight w:val="none"/>
              </w:rPr>
              <w:t xml:space="preserve">法人或者其他组织的营业执照等证明文件，自然人的身份证明</w:t>
            </w:r>
            <w:r/>
          </w:p>
        </w:tc>
        <w:tc>
          <w:tcPr>
            <w:tcW w:w="1545" w:type="dxa"/>
            <w:vAlign w:val="center"/>
            <w:textDirection w:val="lrTb"/>
            <w:noWrap w:val="false"/>
          </w:tcPr>
          <w:p>
            <w:pPr>
              <w:spacing w:line="240" w:lineRule="auto"/>
              <w:rPr>
                <w:rFonts w:hint="eastAsia" w:hAnsi="宋体" w:eastAsia="宋体" w:cs="宋体"/>
                <w:b/>
                <w:color w:val="auto"/>
                <w:highlight w:val="none"/>
              </w:rPr>
            </w:pPr>
            <w:r>
              <w:rPr>
                <w:rFonts w:hint="eastAsia" w:hAnsi="宋体" w:eastAsia="宋体" w:cs="宋体"/>
                <w:b/>
                <w:color w:val="auto"/>
                <w:highlight w:val="none"/>
              </w:rPr>
            </w:r>
            <w:r/>
          </w:p>
        </w:tc>
        <w:tc>
          <w:tcPr>
            <w:tcW w:w="1755" w:type="dxa"/>
            <w:vAlign w:val="center"/>
            <w:textDirection w:val="lrTb"/>
            <w:noWrap w:val="false"/>
          </w:tcPr>
          <w:p>
            <w:pPr>
              <w:spacing w:line="240" w:lineRule="auto"/>
              <w:rPr>
                <w:rFonts w:hint="eastAsia" w:hAnsi="宋体" w:eastAsia="宋体" w:cs="宋体"/>
                <w:b/>
                <w:color w:val="auto"/>
                <w:highlight w:val="none"/>
              </w:rPr>
            </w:pPr>
            <w:r>
              <w:rPr>
                <w:rFonts w:hint="eastAsia" w:hAnsi="宋体" w:eastAsia="宋体" w:cs="宋体"/>
                <w:b/>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2</w:t>
            </w:r>
            <w:r/>
          </w:p>
        </w:tc>
        <w:tc>
          <w:tcPr>
            <w:tcW w:w="5631" w:type="dxa"/>
            <w:vAlign w:val="center"/>
            <w:textDirection w:val="lrTb"/>
            <w:noWrap w:val="false"/>
          </w:tcPr>
          <w:p>
            <w:pPr>
              <w:rPr>
                <w:rFonts w:hint="eastAsia" w:hAnsi="宋体" w:eastAsia="宋体" w:cs="宋体"/>
                <w:iCs/>
                <w:color w:val="auto"/>
                <w:sz w:val="24"/>
                <w:highlight w:val="none"/>
              </w:rPr>
            </w:pPr>
            <w:r>
              <w:rPr>
                <w:rFonts w:hint="eastAsia" w:hAnsi="宋体" w:eastAsia="宋体" w:cs="宋体"/>
                <w:iCs/>
                <w:color w:val="auto"/>
                <w:sz w:val="24"/>
                <w:szCs w:val="24"/>
                <w:highlight w:val="none"/>
              </w:rPr>
              <w:t xml:space="preserve">上一年度的财务状况报表（成立不满一年无需提供）</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3</w:t>
            </w:r>
            <w:r/>
          </w:p>
        </w:tc>
        <w:tc>
          <w:tcPr>
            <w:tcW w:w="5631" w:type="dxa"/>
            <w:vAlign w:val="center"/>
            <w:textDirection w:val="lrTb"/>
            <w:noWrap w:val="false"/>
          </w:tcPr>
          <w:p>
            <w:pPr>
              <w:rPr>
                <w:rFonts w:hint="eastAsia" w:hAnsi="宋体" w:eastAsia="宋体" w:cs="宋体"/>
                <w:iCs/>
                <w:color w:val="auto"/>
                <w:sz w:val="24"/>
                <w:highlight w:val="none"/>
                <w:lang w:eastAsia="zh-CN"/>
              </w:rPr>
            </w:pPr>
            <w:r>
              <w:rPr>
                <w:rFonts w:hint="eastAsia" w:hAnsi="宋体" w:eastAsia="宋体" w:cs="宋体"/>
                <w:iCs/>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hAnsi="宋体" w:eastAsia="宋体" w:cs="宋体"/>
                <w:iCs/>
                <w:color w:val="auto"/>
                <w:sz w:val="24"/>
                <w:szCs w:val="24"/>
                <w:highlight w:val="none"/>
                <w:lang w:eastAsia="zh-CN"/>
              </w:rPr>
              <w:t xml:space="preserve">。）</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4</w:t>
            </w:r>
            <w:r/>
          </w:p>
        </w:tc>
        <w:tc>
          <w:tcPr>
            <w:tcW w:w="5631" w:type="dxa"/>
            <w:vAlign w:val="center"/>
            <w:textDirection w:val="lrTb"/>
            <w:noWrap w:val="false"/>
          </w:tcPr>
          <w:p>
            <w:pPr>
              <w:rPr>
                <w:rFonts w:hint="eastAsia" w:hAnsi="宋体" w:eastAsia="宋体" w:cs="宋体"/>
                <w:iCs/>
                <w:color w:val="auto"/>
                <w:sz w:val="24"/>
                <w:highlight w:val="none"/>
              </w:rPr>
            </w:pPr>
            <w:r>
              <w:rPr>
                <w:rFonts w:hint="eastAsia" w:hAnsi="宋体" w:eastAsia="宋体" w:cs="宋体"/>
                <w:iCs/>
                <w:color w:val="auto"/>
                <w:sz w:val="24"/>
                <w:szCs w:val="24"/>
                <w:highlight w:val="none"/>
              </w:rPr>
              <w:t xml:space="preserve">具备履行合同所必需的设备和专业技术能力的书面声明</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5</w:t>
            </w:r>
            <w:r/>
          </w:p>
        </w:tc>
        <w:tc>
          <w:tcPr>
            <w:tcW w:w="5631" w:type="dxa"/>
            <w:vAlign w:val="center"/>
            <w:textDirection w:val="lrTb"/>
            <w:noWrap w:val="false"/>
          </w:tcPr>
          <w:p>
            <w:pPr>
              <w:rPr>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6</w:t>
            </w:r>
            <w:r/>
          </w:p>
        </w:tc>
        <w:tc>
          <w:tcPr>
            <w:tcW w:w="5631" w:type="dxa"/>
            <w:vAlign w:val="center"/>
            <w:textDirection w:val="lrTb"/>
            <w:noWrap w:val="false"/>
          </w:tcPr>
          <w:p>
            <w:pPr>
              <w:spacing w:line="240" w:lineRule="auto"/>
              <w:rPr>
                <w:color w:val="auto"/>
                <w:sz w:val="24"/>
                <w:szCs w:val="24"/>
                <w:highlight w:val="none"/>
              </w:rPr>
            </w:pPr>
            <w:r>
              <w:rPr>
                <w:rFonts w:hint="eastAsia"/>
                <w:color w:val="auto"/>
                <w:sz w:val="24"/>
                <w:szCs w:val="24"/>
                <w:highlight w:val="none"/>
              </w:rPr>
              <w:t xml:space="preserve">中小企业声明函</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7</w:t>
            </w:r>
            <w:r/>
          </w:p>
        </w:tc>
        <w:tc>
          <w:tcPr>
            <w:tcW w:w="5631" w:type="dxa"/>
            <w:vAlign w:val="center"/>
            <w:textDirection w:val="lrTb"/>
            <w:noWrap w:val="false"/>
          </w:tcPr>
          <w:p>
            <w:pPr>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人必须为未被列入“信用中国”网站(www.creditchina.gov.cn)、中国政府采购网(www.ccgp.gov.cn)渠道信用记录失信被执行人、重大税收违法案件当事人名单、政府采购严重违法失信行为记录名单；</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8</w:t>
            </w:r>
            <w:r/>
          </w:p>
        </w:tc>
        <w:tc>
          <w:tcPr>
            <w:tcW w:w="5631" w:type="dxa"/>
            <w:vAlign w:val="center"/>
            <w:textDirection w:val="lrTb"/>
            <w:noWrap w:val="false"/>
          </w:tcPr>
          <w:p>
            <w:pPr>
              <w:rPr>
                <w:rFonts w:hint="eastAsia" w:eastAsia="宋体"/>
                <w:color w:val="auto"/>
                <w:sz w:val="24"/>
                <w:szCs w:val="24"/>
                <w:highlight w:val="none"/>
                <w:lang w:eastAsia="zh-CN"/>
              </w:rPr>
            </w:pPr>
            <w:r>
              <w:rPr>
                <w:rFonts w:hint="eastAsia" w:ascii="宋体" w:hAnsi="宋体" w:eastAsia="宋体" w:cs="Times New Roman"/>
                <w:color w:val="auto"/>
                <w:sz w:val="24"/>
                <w:szCs w:val="24"/>
                <w:highlight w:val="none"/>
              </w:rPr>
              <w:t xml:space="preserve">单位负责人为同一人或者存在直接控股、管理关系的不同供应商，不得参加同一合同项下的政府采购活动，否则均做无效标处理。</w:t>
            </w:r>
            <w:r>
              <w:rPr>
                <w:rFonts w:hint="eastAsia" w:ascii="宋体" w:hAnsi="宋体" w:eastAsia="宋体" w:cs="Times New Roman"/>
                <w:color w:val="auto"/>
                <w:sz w:val="24"/>
                <w:szCs w:val="24"/>
                <w:highlight w:val="none"/>
                <w:lang w:eastAsia="zh-CN"/>
              </w:rPr>
              <w:t xml:space="preserve">（书面声明，格式自拟）</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9</w:t>
            </w:r>
            <w:r/>
          </w:p>
        </w:tc>
        <w:tc>
          <w:tcPr>
            <w:tcW w:w="5631" w:type="dxa"/>
            <w:vAlign w:val="center"/>
            <w:textDirection w:val="lrTb"/>
            <w:noWrap w:val="false"/>
          </w:tcPr>
          <w:p>
            <w:pPr>
              <w:spacing w:line="240" w:lineRule="auto"/>
              <w:rPr>
                <w:color w:val="auto"/>
                <w:sz w:val="24"/>
                <w:szCs w:val="24"/>
                <w:highlight w:val="none"/>
              </w:rPr>
            </w:pPr>
            <w:r>
              <w:rPr>
                <w:rFonts w:hint="eastAsia"/>
                <w:color w:val="auto"/>
                <w:sz w:val="24"/>
                <w:szCs w:val="24"/>
                <w:highlight w:val="none"/>
                <w:lang w:val="en-US" w:eastAsia="zh-CN"/>
              </w:rPr>
              <w:t xml:space="preserve">竞争性磋商公告中</w:t>
            </w:r>
            <w:r>
              <w:rPr>
                <w:rFonts w:hint="eastAsia"/>
                <w:color w:val="auto"/>
                <w:sz w:val="24"/>
                <w:szCs w:val="24"/>
                <w:highlight w:val="none"/>
              </w:rPr>
              <w:t xml:space="preserve">本项目的特定资格要求</w:t>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r>
        <w:trPr>
          <w:jc w:val="center"/>
          <w:trHeight w:val="680"/>
        </w:trPr>
        <w:tc>
          <w:tcPr>
            <w:tcW w:w="648" w:type="dxa"/>
            <w:vAlign w:val="center"/>
            <w:textDirection w:val="lrTb"/>
            <w:noWrap w:val="false"/>
          </w:tcPr>
          <w:p>
            <w:pPr>
              <w:jc w:val="center"/>
              <w:spacing w:line="240" w:lineRule="auto"/>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10</w:t>
            </w:r>
            <w:r/>
          </w:p>
        </w:tc>
        <w:tc>
          <w:tcPr>
            <w:tcW w:w="5631" w:type="dxa"/>
            <w:vAlign w:val="center"/>
            <w:textDirection w:val="lrTb"/>
            <w:noWrap w:val="false"/>
          </w:tcPr>
          <w:p>
            <w:pPr>
              <w:spacing w:line="240" w:lineRule="auto"/>
              <w:rPr>
                <w:rFonts w:hint="eastAsia" w:eastAsiaTheme="minorEastAsia"/>
                <w:color w:val="auto"/>
                <w:sz w:val="24"/>
                <w:szCs w:val="24"/>
                <w:highlight w:val="none"/>
                <w:lang w:eastAsia="zh-CN"/>
              </w:rPr>
            </w:pPr>
            <w:r>
              <w:rPr>
                <w:rFonts w:hint="eastAsia" w:eastAsiaTheme="minorEastAsia"/>
                <w:color w:val="auto"/>
                <w:sz w:val="24"/>
                <w:szCs w:val="24"/>
                <w:highlight w:val="none"/>
                <w:lang w:eastAsia="zh-CN"/>
              </w:rPr>
            </w:r>
            <w:r/>
          </w:p>
        </w:tc>
        <w:tc>
          <w:tcPr>
            <w:tcW w:w="154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c>
          <w:tcPr>
            <w:tcW w:w="1755" w:type="dxa"/>
            <w:vAlign w:val="center"/>
            <w:textDirection w:val="lrTb"/>
            <w:noWrap w:val="false"/>
          </w:tcPr>
          <w:p>
            <w:pPr>
              <w:spacing w:line="240" w:lineRule="auto"/>
              <w:rPr>
                <w:rFonts w:hint="eastAsia" w:hAnsi="宋体" w:eastAsia="宋体" w:cs="宋体"/>
                <w:color w:val="auto"/>
                <w:highlight w:val="none"/>
              </w:rPr>
            </w:pPr>
            <w:r>
              <w:rPr>
                <w:rFonts w:hint="eastAsia" w:hAnsi="宋体" w:eastAsia="宋体" w:cs="宋体"/>
                <w:color w:val="auto"/>
                <w:highlight w:val="none"/>
              </w:rPr>
            </w:r>
            <w:r/>
          </w:p>
        </w:tc>
      </w:tr>
    </w:tbl>
    <w:p>
      <w:pPr>
        <w:spacing w:before="240"/>
        <w:rPr>
          <w:rFonts w:hint="eastAsia"/>
          <w:color w:val="auto"/>
          <w:highlight w:val="none"/>
        </w:rPr>
      </w:pPr>
      <w:r>
        <w:rPr>
          <w:rFonts w:hint="eastAsia"/>
          <w:color w:val="auto"/>
          <w:highlight w:val="none"/>
          <w:lang w:val="zh-CN"/>
        </w:rPr>
        <w:t xml:space="preserve">注：本表须明确填写并按磋商文件要求提供材料，否则资格性检查无法通过。</w:t>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投标人（公章）：</w:t>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法定代表人或授权委托人：（签字或盖章）</w:t>
      </w:r>
      <w:r/>
    </w:p>
    <w:p>
      <w:pPr>
        <w:ind w:firstLine="3360"/>
        <w:rPr>
          <w:rFonts w:hAnsi="宋体" w:eastAsia="宋体"/>
          <w:bCs/>
          <w:color w:val="auto"/>
          <w:szCs w:val="28"/>
          <w:highlight w:val="none"/>
        </w:rPr>
      </w:pPr>
      <w:r>
        <w:rPr>
          <w:rFonts w:hint="eastAsia" w:hAnsi="宋体" w:eastAsia="宋体"/>
          <w:bCs/>
          <w:color w:val="auto"/>
          <w:szCs w:val="28"/>
          <w:highlight w:val="none"/>
        </w:rPr>
        <w:t xml:space="preserve">日期：</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月</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日</w:t>
      </w:r>
      <w:r/>
    </w:p>
    <w:p>
      <w:pPr>
        <w:pStyle w:val="1050"/>
        <w:jc w:val="center"/>
        <w:spacing w:before="240" w:after="240" w:line="240" w:lineRule="auto"/>
        <w:rPr>
          <w:rFonts w:hAnsi="宋体" w:eastAsia="宋体"/>
          <w:b w:val="0"/>
          <w:bCs w:val="0"/>
          <w:color w:val="auto"/>
          <w:sz w:val="32"/>
          <w:szCs w:val="32"/>
          <w:highlight w:val="none"/>
        </w:rPr>
      </w:pPr>
      <w:r>
        <w:rPr>
          <w:rFonts w:hint="eastAsia" w:hAnsi="宋体" w:eastAsia="宋体"/>
          <w:b w:val="0"/>
          <w:bCs w:val="0"/>
          <w:color w:val="auto"/>
          <w:sz w:val="32"/>
          <w:szCs w:val="32"/>
          <w:highlight w:val="none"/>
        </w:rPr>
        <w:br w:type="page" w:clear="all"/>
      </w:r>
      <w:r>
        <w:rPr>
          <w:rFonts w:hint="eastAsia" w:ascii="黑体" w:hAnsi="宋体" w:eastAsia="黑体" w:cs="Times New Roman"/>
          <w:bCs/>
          <w:color w:val="auto"/>
          <w:sz w:val="32"/>
          <w:szCs w:val="32"/>
          <w:highlight w:val="none"/>
          <w:lang w:val="en-US" w:eastAsia="zh-CN" w:bidi="ar-SA"/>
        </w:rPr>
        <w:t xml:space="preserve">   9、符合性检查响应对照表（格式）</w:t>
      </w:r>
      <w:r/>
    </w:p>
    <w:p>
      <w:pPr>
        <w:ind w:firstLine="309"/>
        <w:rPr>
          <w:rFonts w:hint="eastAsia" w:hAnsi="宋体" w:eastAsia="宋体"/>
          <w:color w:val="auto"/>
          <w:sz w:val="24"/>
          <w:highlight w:val="none"/>
        </w:rPr>
      </w:pPr>
      <w:r>
        <w:rPr>
          <w:rFonts w:hint="eastAsia" w:hAnsi="宋体" w:eastAsia="宋体"/>
          <w:color w:val="auto"/>
          <w:sz w:val="24"/>
          <w:highlight w:val="none"/>
        </w:rPr>
        <w:t xml:space="preserve">投标人全称（加盖公章）：</w:t>
      </w:r>
      <w:r/>
    </w:p>
    <w:tbl>
      <w:tblPr>
        <w:tblStyle w:val="106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234"/>
        <w:gridCol w:w="1816"/>
        <w:gridCol w:w="1890"/>
      </w:tblGrid>
      <w:tr>
        <w:trPr>
          <w:jc w:val="center"/>
          <w:trHeight w:val="850"/>
        </w:trPr>
        <w:tc>
          <w:tcPr>
            <w:tcW w:w="859"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序号</w:t>
            </w:r>
            <w:r/>
          </w:p>
        </w:tc>
        <w:tc>
          <w:tcPr>
            <w:tcW w:w="5234"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符合性检查响应内容</w:t>
            </w:r>
            <w:r/>
          </w:p>
        </w:tc>
        <w:tc>
          <w:tcPr>
            <w:tcW w:w="1816"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是否响应</w:t>
            </w:r>
            <w:r/>
          </w:p>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（填是或者否）</w:t>
            </w:r>
            <w:r/>
          </w:p>
        </w:tc>
        <w:tc>
          <w:tcPr>
            <w:tcW w:w="1890" w:type="dxa"/>
            <w:vAlign w:val="center"/>
            <w:textDirection w:val="lrTb"/>
            <w:noWrap w:val="false"/>
          </w:tcPr>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响应文件中的</w:t>
            </w:r>
            <w:r/>
          </w:p>
          <w:p>
            <w:pPr>
              <w:jc w:val="cente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页码位置</w:t>
            </w:r>
            <w:r/>
          </w:p>
        </w:tc>
      </w:tr>
      <w:tr>
        <w:trPr>
          <w:jc w:val="center"/>
          <w:trHeight w:val="737"/>
        </w:trPr>
        <w:tc>
          <w:tcPr>
            <w:tcW w:w="859" w:type="dxa"/>
            <w:vAlign w:val="center"/>
            <w:textDirection w:val="lrTb"/>
            <w:noWrap w:val="false"/>
          </w:tcPr>
          <w:p>
            <w:pPr>
              <w:jc w:val="center"/>
              <w:spacing w:line="240" w:lineRule="auto"/>
              <w:rPr>
                <w:rFonts w:hint="eastAsia"/>
                <w:iCs/>
                <w:color w:val="auto"/>
                <w:sz w:val="24"/>
                <w:highlight w:val="none"/>
              </w:rPr>
            </w:pPr>
            <w:r>
              <w:rPr>
                <w:rFonts w:hint="eastAsia"/>
                <w:iCs/>
                <w:color w:val="auto"/>
                <w:sz w:val="24"/>
                <w:highlight w:val="none"/>
              </w:rPr>
              <w:t xml:space="preserve">1</w:t>
            </w:r>
            <w:r/>
          </w:p>
        </w:tc>
        <w:tc>
          <w:tcPr>
            <w:tcW w:w="5234" w:type="dxa"/>
            <w:vAlign w:val="center"/>
            <w:textDirection w:val="lrTb"/>
            <w:noWrap w:val="false"/>
          </w:tcPr>
          <w:p>
            <w:pPr>
              <w:spacing w:line="240" w:lineRule="auto"/>
              <w:rPr>
                <w:rFonts w:hAnsi="宋体" w:eastAsia="宋体" w:cs="宋体"/>
                <w:iCs/>
                <w:color w:val="auto"/>
                <w:sz w:val="24"/>
                <w:highlight w:val="none"/>
              </w:rPr>
            </w:pPr>
            <w:r>
              <w:rPr>
                <w:rFonts w:hint="eastAsia" w:hAnsi="宋体"/>
                <w:iCs/>
                <w:color w:val="auto"/>
                <w:sz w:val="24"/>
                <w:szCs w:val="24"/>
                <w:highlight w:val="none"/>
              </w:rPr>
              <w:t xml:space="preserve">报价不得高于最高限价</w:t>
            </w:r>
            <w:r/>
          </w:p>
        </w:tc>
        <w:tc>
          <w:tcPr>
            <w:tcW w:w="1816"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1890" w:type="dxa"/>
            <w:vAlign w:val="center"/>
            <w:textDirection w:val="lrTb"/>
            <w:noWrap w:val="false"/>
          </w:tcPr>
          <w:p>
            <w:pPr>
              <w:spacing w:line="240" w:lineRule="auto"/>
              <w:rPr>
                <w:rFonts w:hAnsi="宋体"/>
                <w:color w:val="auto"/>
                <w:highlight w:val="none"/>
              </w:rPr>
            </w:pPr>
            <w:r>
              <w:rPr>
                <w:rFonts w:hAnsi="宋体"/>
                <w:color w:val="auto"/>
                <w:highlight w:val="none"/>
              </w:rPr>
            </w:r>
            <w:r/>
          </w:p>
        </w:tc>
      </w:tr>
      <w:tr>
        <w:trPr>
          <w:jc w:val="center"/>
          <w:trHeight w:val="763"/>
        </w:trPr>
        <w:tc>
          <w:tcPr>
            <w:tcW w:w="859" w:type="dxa"/>
            <w:vAlign w:val="center"/>
            <w:textDirection w:val="lrTb"/>
            <w:noWrap w:val="false"/>
          </w:tcPr>
          <w:p>
            <w:pPr>
              <w:jc w:val="center"/>
              <w:spacing w:line="240" w:lineRule="auto"/>
              <w:rPr>
                <w:rFonts w:hint="eastAsia"/>
                <w:iCs/>
                <w:color w:val="auto"/>
                <w:sz w:val="24"/>
                <w:highlight w:val="none"/>
              </w:rPr>
            </w:pPr>
            <w:r>
              <w:rPr>
                <w:rFonts w:hint="eastAsia"/>
                <w:iCs/>
                <w:color w:val="auto"/>
                <w:sz w:val="24"/>
                <w:highlight w:val="none"/>
              </w:rPr>
              <w:t xml:space="preserve">2</w:t>
            </w:r>
            <w:r/>
          </w:p>
        </w:tc>
        <w:tc>
          <w:tcPr>
            <w:tcW w:w="5234" w:type="dxa"/>
            <w:vAlign w:val="center"/>
            <w:textDirection w:val="lrTb"/>
            <w:noWrap w:val="false"/>
          </w:tcPr>
          <w:p>
            <w:pPr>
              <w:spacing w:line="240" w:lineRule="auto"/>
              <w:rPr>
                <w:rFonts w:hint="eastAsia" w:hAnsi="宋体" w:eastAsia="宋体" w:cs="宋体"/>
                <w:iCs/>
                <w:color w:val="auto"/>
                <w:sz w:val="24"/>
                <w:highlight w:val="none"/>
              </w:rPr>
            </w:pPr>
            <w:r>
              <w:rPr>
                <w:rFonts w:hint="eastAsia" w:hAnsi="宋体" w:eastAsia="宋体" w:cs="宋体"/>
                <w:iCs/>
                <w:color w:val="auto"/>
                <w:sz w:val="24"/>
                <w:highlight w:val="none"/>
              </w:rPr>
              <w:t xml:space="preserve">合同履行期限</w:t>
            </w:r>
            <w:r/>
          </w:p>
        </w:tc>
        <w:tc>
          <w:tcPr>
            <w:tcW w:w="1816" w:type="dxa"/>
            <w:vAlign w:val="center"/>
            <w:textDirection w:val="lrTb"/>
            <w:noWrap w:val="false"/>
          </w:tcPr>
          <w:p>
            <w:pPr>
              <w:spacing w:line="240" w:lineRule="auto"/>
              <w:rPr>
                <w:rFonts w:hAnsi="宋体"/>
                <w:b/>
                <w:color w:val="auto"/>
                <w:highlight w:val="none"/>
              </w:rPr>
            </w:pPr>
            <w:r>
              <w:rPr>
                <w:rFonts w:hAnsi="宋体"/>
                <w:b/>
                <w:color w:val="auto"/>
                <w:highlight w:val="none"/>
              </w:rPr>
            </w:r>
            <w:r/>
          </w:p>
        </w:tc>
        <w:tc>
          <w:tcPr>
            <w:tcW w:w="1890" w:type="dxa"/>
            <w:vAlign w:val="center"/>
            <w:textDirection w:val="lrTb"/>
            <w:noWrap w:val="false"/>
          </w:tcPr>
          <w:p>
            <w:pPr>
              <w:spacing w:line="240" w:lineRule="auto"/>
              <w:rPr>
                <w:rFonts w:hAnsi="宋体"/>
                <w:b/>
                <w:color w:val="auto"/>
                <w:highlight w:val="none"/>
              </w:rPr>
            </w:pPr>
            <w:r>
              <w:rPr>
                <w:rFonts w:hAnsi="宋体"/>
                <w:b/>
                <w:color w:val="auto"/>
                <w:highlight w:val="none"/>
              </w:rPr>
            </w:r>
            <w:r/>
          </w:p>
        </w:tc>
      </w:tr>
      <w:tr>
        <w:trPr>
          <w:jc w:val="center"/>
          <w:trHeight w:val="763"/>
        </w:trPr>
        <w:tc>
          <w:tcPr>
            <w:tcW w:w="859" w:type="dxa"/>
            <w:vAlign w:val="center"/>
            <w:textDirection w:val="lrTb"/>
            <w:noWrap w:val="false"/>
          </w:tcPr>
          <w:p>
            <w:pPr>
              <w:jc w:val="center"/>
              <w:spacing w:line="240" w:lineRule="auto"/>
              <w:rPr>
                <w:rFonts w:hint="eastAsia" w:eastAsia="宋体"/>
                <w:iCs/>
                <w:color w:val="auto"/>
                <w:sz w:val="24"/>
                <w:highlight w:val="none"/>
                <w:lang w:val="en-US" w:eastAsia="zh-CN"/>
              </w:rPr>
            </w:pPr>
            <w:r>
              <w:rPr>
                <w:rFonts w:hint="eastAsia"/>
                <w:iCs/>
                <w:color w:val="auto"/>
                <w:sz w:val="24"/>
                <w:highlight w:val="none"/>
                <w:lang w:val="en-US" w:eastAsia="zh-CN"/>
              </w:rPr>
              <w:t xml:space="preserve">3</w:t>
            </w:r>
            <w:r/>
          </w:p>
        </w:tc>
        <w:tc>
          <w:tcPr>
            <w:tcW w:w="5234" w:type="dxa"/>
            <w:vAlign w:val="center"/>
            <w:textDirection w:val="lrTb"/>
            <w:noWrap w:val="false"/>
          </w:tcPr>
          <w:p>
            <w:pPr>
              <w:spacing w:line="240" w:lineRule="auto"/>
              <w:rPr>
                <w:rFonts w:hint="eastAsia" w:hAnsi="宋体" w:eastAsia="宋体" w:cs="宋体"/>
                <w:iCs/>
                <w:color w:val="auto"/>
                <w:sz w:val="24"/>
                <w:highlight w:val="none"/>
                <w:lang w:val="en-US" w:eastAsia="zh-CN"/>
              </w:rPr>
            </w:pPr>
            <w:r>
              <w:rPr>
                <w:rFonts w:hint="eastAsia" w:hAnsi="宋体" w:eastAsia="宋体" w:cs="宋体"/>
                <w:iCs/>
                <w:color w:val="auto"/>
                <w:sz w:val="24"/>
                <w:highlight w:val="none"/>
              </w:rPr>
              <w:t xml:space="preserve">项目需求响应承诺函。详见附件1、</w:t>
            </w:r>
            <w:r/>
          </w:p>
        </w:tc>
        <w:tc>
          <w:tcPr>
            <w:tcW w:w="1816" w:type="dxa"/>
            <w:vAlign w:val="center"/>
            <w:textDirection w:val="lrTb"/>
            <w:noWrap w:val="false"/>
          </w:tcPr>
          <w:p>
            <w:pPr>
              <w:spacing w:line="240" w:lineRule="auto"/>
              <w:rPr>
                <w:rFonts w:hAnsi="宋体"/>
                <w:b/>
                <w:color w:val="auto"/>
                <w:highlight w:val="none"/>
              </w:rPr>
            </w:pPr>
            <w:r>
              <w:rPr>
                <w:rFonts w:hAnsi="宋体"/>
                <w:b/>
                <w:color w:val="auto"/>
                <w:highlight w:val="none"/>
              </w:rPr>
            </w:r>
            <w:r/>
          </w:p>
        </w:tc>
        <w:tc>
          <w:tcPr>
            <w:tcW w:w="1890" w:type="dxa"/>
            <w:vAlign w:val="center"/>
            <w:textDirection w:val="lrTb"/>
            <w:noWrap w:val="false"/>
          </w:tcPr>
          <w:p>
            <w:pPr>
              <w:spacing w:line="240" w:lineRule="auto"/>
              <w:rPr>
                <w:rFonts w:hAnsi="宋体"/>
                <w:b/>
                <w:color w:val="auto"/>
                <w:highlight w:val="none"/>
              </w:rPr>
            </w:pPr>
            <w:r>
              <w:rPr>
                <w:rFonts w:hAnsi="宋体"/>
                <w:b/>
                <w:color w:val="auto"/>
                <w:highlight w:val="none"/>
              </w:rPr>
            </w:r>
            <w:r/>
          </w:p>
        </w:tc>
      </w:tr>
      <w:tr>
        <w:trPr>
          <w:jc w:val="center"/>
          <w:trHeight w:val="788"/>
        </w:trPr>
        <w:tc>
          <w:tcPr>
            <w:tcW w:w="859" w:type="dxa"/>
            <w:vAlign w:val="center"/>
            <w:textDirection w:val="lrTb"/>
            <w:noWrap w:val="false"/>
          </w:tcPr>
          <w:p>
            <w:pPr>
              <w:jc w:val="center"/>
              <w:spacing w:line="240" w:lineRule="auto"/>
              <w:rPr>
                <w:rFonts w:hint="eastAsia"/>
                <w:iCs/>
                <w:color w:val="auto"/>
                <w:sz w:val="24"/>
                <w:highlight w:val="none"/>
              </w:rPr>
            </w:pPr>
            <w:r>
              <w:rPr>
                <w:rFonts w:hint="eastAsia"/>
                <w:iCs/>
                <w:color w:val="auto"/>
                <w:sz w:val="24"/>
                <w:highlight w:val="none"/>
              </w:rPr>
            </w:r>
            <w:r/>
          </w:p>
        </w:tc>
        <w:tc>
          <w:tcPr>
            <w:tcW w:w="5234" w:type="dxa"/>
            <w:vAlign w:val="center"/>
            <w:textDirection w:val="lrTb"/>
            <w:noWrap w:val="false"/>
          </w:tcPr>
          <w:p>
            <w:pPr>
              <w:spacing w:line="240" w:lineRule="auto"/>
              <w:rPr>
                <w:rFonts w:hint="eastAsia" w:hAnsi="宋体" w:eastAsia="宋体" w:cs="宋体"/>
                <w:iCs/>
                <w:color w:val="auto"/>
                <w:sz w:val="24"/>
                <w:highlight w:val="none"/>
              </w:rPr>
            </w:pPr>
            <w:r>
              <w:rPr>
                <w:rFonts w:hint="eastAsia" w:hAnsi="宋体" w:eastAsia="宋体" w:cs="宋体"/>
                <w:iCs/>
                <w:color w:val="auto"/>
                <w:sz w:val="24"/>
                <w:highlight w:val="none"/>
              </w:rPr>
            </w:r>
            <w:r/>
          </w:p>
        </w:tc>
        <w:tc>
          <w:tcPr>
            <w:tcW w:w="1816"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1890" w:type="dxa"/>
            <w:vAlign w:val="center"/>
            <w:textDirection w:val="lrTb"/>
            <w:noWrap w:val="false"/>
          </w:tcPr>
          <w:p>
            <w:pPr>
              <w:spacing w:line="240" w:lineRule="auto"/>
              <w:rPr>
                <w:rFonts w:hAnsi="宋体"/>
                <w:color w:val="auto"/>
                <w:highlight w:val="none"/>
              </w:rPr>
            </w:pPr>
            <w:r>
              <w:rPr>
                <w:rFonts w:hAnsi="宋体"/>
                <w:color w:val="auto"/>
                <w:highlight w:val="none"/>
              </w:rPr>
            </w:r>
            <w:r/>
          </w:p>
        </w:tc>
      </w:tr>
      <w:tr>
        <w:trPr>
          <w:jc w:val="center"/>
          <w:trHeight w:val="922"/>
        </w:trPr>
        <w:tc>
          <w:tcPr>
            <w:tcW w:w="859"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5234" w:type="dxa"/>
            <w:vAlign w:val="center"/>
            <w:textDirection w:val="lrTb"/>
            <w:noWrap w:val="false"/>
          </w:tcPr>
          <w:p>
            <w:pPr>
              <w:spacing w:line="240" w:lineRule="auto"/>
              <w:rPr>
                <w:rFonts w:hint="eastAsia" w:hAnsi="宋体"/>
                <w:iCs/>
                <w:color w:val="auto"/>
                <w:sz w:val="24"/>
                <w:highlight w:val="none"/>
              </w:rPr>
            </w:pPr>
            <w:r>
              <w:rPr>
                <w:rFonts w:hint="eastAsia" w:hAnsi="宋体"/>
                <w:iCs/>
                <w:color w:val="auto"/>
                <w:sz w:val="24"/>
                <w:highlight w:val="none"/>
              </w:rPr>
            </w:r>
            <w:r/>
          </w:p>
        </w:tc>
        <w:tc>
          <w:tcPr>
            <w:tcW w:w="1816"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1890" w:type="dxa"/>
            <w:vAlign w:val="center"/>
            <w:textDirection w:val="lrTb"/>
            <w:noWrap w:val="false"/>
          </w:tcPr>
          <w:p>
            <w:pPr>
              <w:spacing w:line="240" w:lineRule="auto"/>
              <w:rPr>
                <w:rFonts w:hAnsi="宋体"/>
                <w:color w:val="auto"/>
                <w:highlight w:val="none"/>
              </w:rPr>
            </w:pPr>
            <w:r>
              <w:rPr>
                <w:rFonts w:hAnsi="宋体"/>
                <w:color w:val="auto"/>
                <w:highlight w:val="none"/>
              </w:rPr>
            </w:r>
            <w:r/>
          </w:p>
        </w:tc>
      </w:tr>
      <w:tr>
        <w:trPr>
          <w:jc w:val="center"/>
          <w:trHeight w:val="703"/>
        </w:trPr>
        <w:tc>
          <w:tcPr>
            <w:tcW w:w="859"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5234" w:type="dxa"/>
            <w:vAlign w:val="center"/>
            <w:textDirection w:val="lrTb"/>
            <w:noWrap w:val="false"/>
          </w:tcPr>
          <w:p>
            <w:pPr>
              <w:spacing w:line="240" w:lineRule="auto"/>
              <w:rPr>
                <w:rFonts w:hAnsi="宋体"/>
                <w:iCs/>
                <w:color w:val="auto"/>
                <w:sz w:val="24"/>
                <w:highlight w:val="none"/>
              </w:rPr>
            </w:pPr>
            <w:r>
              <w:rPr>
                <w:rFonts w:hAnsi="宋体"/>
                <w:iCs/>
                <w:color w:val="auto"/>
                <w:sz w:val="24"/>
                <w:highlight w:val="none"/>
              </w:rPr>
            </w:r>
            <w:r/>
          </w:p>
        </w:tc>
        <w:tc>
          <w:tcPr>
            <w:tcW w:w="1816"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1890" w:type="dxa"/>
            <w:vAlign w:val="center"/>
            <w:textDirection w:val="lrTb"/>
            <w:noWrap w:val="false"/>
          </w:tcPr>
          <w:p>
            <w:pPr>
              <w:spacing w:line="240" w:lineRule="auto"/>
              <w:rPr>
                <w:rFonts w:hAnsi="宋体"/>
                <w:color w:val="auto"/>
                <w:highlight w:val="none"/>
              </w:rPr>
            </w:pPr>
            <w:r>
              <w:rPr>
                <w:rFonts w:hAnsi="宋体"/>
                <w:color w:val="auto"/>
                <w:highlight w:val="none"/>
              </w:rPr>
            </w:r>
            <w:r/>
          </w:p>
        </w:tc>
      </w:tr>
      <w:tr>
        <w:trPr>
          <w:jc w:val="center"/>
          <w:trHeight w:val="763"/>
        </w:trPr>
        <w:tc>
          <w:tcPr>
            <w:tcW w:w="859"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5234" w:type="dxa"/>
            <w:vAlign w:val="center"/>
            <w:textDirection w:val="lrTb"/>
            <w:noWrap w:val="false"/>
          </w:tcPr>
          <w:p>
            <w:pPr>
              <w:spacing w:line="240" w:lineRule="auto"/>
              <w:rPr>
                <w:rFonts w:hAnsi="宋体"/>
                <w:iCs/>
                <w:color w:val="auto"/>
                <w:sz w:val="24"/>
                <w:highlight w:val="none"/>
              </w:rPr>
            </w:pPr>
            <w:r>
              <w:rPr>
                <w:rFonts w:hAnsi="宋体"/>
                <w:iCs/>
                <w:color w:val="auto"/>
                <w:sz w:val="24"/>
                <w:highlight w:val="none"/>
              </w:rPr>
            </w:r>
            <w:r/>
          </w:p>
        </w:tc>
        <w:tc>
          <w:tcPr>
            <w:tcW w:w="1816" w:type="dxa"/>
            <w:vAlign w:val="center"/>
            <w:textDirection w:val="lrTb"/>
            <w:noWrap w:val="false"/>
          </w:tcPr>
          <w:p>
            <w:pPr>
              <w:spacing w:line="240" w:lineRule="auto"/>
              <w:rPr>
                <w:rFonts w:hAnsi="宋体"/>
                <w:color w:val="auto"/>
                <w:highlight w:val="none"/>
              </w:rPr>
            </w:pPr>
            <w:r>
              <w:rPr>
                <w:rFonts w:hAnsi="宋体"/>
                <w:color w:val="auto"/>
                <w:highlight w:val="none"/>
              </w:rPr>
            </w:r>
            <w:r/>
          </w:p>
        </w:tc>
        <w:tc>
          <w:tcPr>
            <w:tcW w:w="1890" w:type="dxa"/>
            <w:vAlign w:val="center"/>
            <w:textDirection w:val="lrTb"/>
            <w:noWrap w:val="false"/>
          </w:tcPr>
          <w:p>
            <w:pPr>
              <w:spacing w:line="240" w:lineRule="auto"/>
              <w:rPr>
                <w:rFonts w:hAnsi="宋体"/>
                <w:color w:val="auto"/>
                <w:highlight w:val="none"/>
              </w:rPr>
            </w:pPr>
            <w:r>
              <w:rPr>
                <w:rFonts w:hAnsi="宋体"/>
                <w:color w:val="auto"/>
                <w:highlight w:val="none"/>
              </w:rPr>
            </w:r>
            <w:r/>
          </w:p>
        </w:tc>
      </w:tr>
    </w:tbl>
    <w:p>
      <w:pPr>
        <w:ind w:firstLine="645"/>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210"/>
        <w:rPr>
          <w:rFonts w:hint="eastAsia"/>
          <w:color w:val="auto"/>
          <w:szCs w:val="28"/>
          <w:highlight w:val="none"/>
          <w:lang w:val="zh-CN"/>
        </w:rPr>
      </w:pPr>
      <w:r>
        <w:rPr>
          <w:rFonts w:hint="eastAsia"/>
          <w:color w:val="auto"/>
          <w:szCs w:val="28"/>
          <w:highlight w:val="none"/>
          <w:lang w:val="zh-CN"/>
        </w:rPr>
        <w:t xml:space="preserve">注：本表须明确填写并按磋商文件要求提供材料，否则符合性检查无法通过。</w:t>
      </w:r>
      <w:r/>
    </w:p>
    <w:p>
      <w:pPr>
        <w:ind w:firstLine="2940"/>
        <w:rPr>
          <w:rFonts w:hint="eastAsia" w:hAnsi="宋体" w:eastAsia="宋体"/>
          <w:bCs/>
          <w:color w:val="auto"/>
          <w:szCs w:val="28"/>
          <w:highlight w:val="none"/>
        </w:rPr>
      </w:pPr>
      <w:r>
        <w:rPr>
          <w:rFonts w:hint="eastAsia" w:hAnsi="宋体" w:eastAsia="宋体"/>
          <w:bCs/>
          <w:color w:val="auto"/>
          <w:szCs w:val="28"/>
          <w:highlight w:val="none"/>
        </w:rPr>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投标人（公章）：</w:t>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法定代表人或授权委托人：（签字或盖章）</w:t>
      </w:r>
      <w:r/>
    </w:p>
    <w:p>
      <w:pPr>
        <w:ind w:firstLine="3360"/>
        <w:rPr>
          <w:rFonts w:hAnsi="宋体" w:eastAsia="宋体"/>
          <w:bCs/>
          <w:color w:val="auto"/>
          <w:szCs w:val="28"/>
          <w:highlight w:val="none"/>
        </w:rPr>
      </w:pPr>
      <w:r>
        <w:rPr>
          <w:rFonts w:hint="eastAsia" w:hAnsi="宋体" w:eastAsia="宋体"/>
          <w:bCs/>
          <w:color w:val="auto"/>
          <w:szCs w:val="28"/>
          <w:highlight w:val="none"/>
        </w:rPr>
        <w:t xml:space="preserve">日期：</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月</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日</w:t>
      </w:r>
      <w:r/>
    </w:p>
    <w:p>
      <w:pP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88"/>
        <w:ind w:firstLine="2570"/>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081"/>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067"/>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068"/>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068"/>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051"/>
        <w:numPr>
          <w:ilvl w:val="0"/>
          <w:numId w:val="0"/>
        </w:numPr>
        <w:spacing w:before="0" w:after="0"/>
        <w:rPr>
          <w:rFonts w:hint="eastAsia" w:hAnsi="Times New Roman" w:eastAsia="宋体"/>
          <w:color w:val="auto"/>
          <w:szCs w:val="28"/>
          <w:highlight w:val="none"/>
        </w:rPr>
      </w:pPr>
      <w:r>
        <w:rPr>
          <w:rFonts w:hint="eastAsia" w:hAnsi="Times New Roman" w:eastAsia="宋体"/>
          <w:color w:val="auto"/>
          <w:szCs w:val="28"/>
          <w:highlight w:val="none"/>
        </w:rPr>
      </w:r>
      <w:r/>
    </w:p>
    <w:p>
      <w:pPr>
        <w:pStyle w:val="1051"/>
        <w:numPr>
          <w:ilvl w:val="0"/>
          <w:numId w:val="0"/>
        </w:numPr>
        <w:spacing w:before="0" w:after="0"/>
        <w:rPr>
          <w:rFonts w:hAnsi="Times New Roman" w:eastAsia="宋体"/>
          <w:color w:val="auto"/>
          <w:szCs w:val="28"/>
          <w:highlight w:val="none"/>
        </w:rPr>
      </w:pPr>
      <w:r>
        <w:rPr>
          <w:rFonts w:hint="eastAsia" w:hAnsi="Times New Roman" w:eastAsia="宋体"/>
          <w:color w:val="auto"/>
          <w:szCs w:val="28"/>
          <w:highlight w:val="none"/>
        </w:rPr>
        <w:t xml:space="preserve">附件1、        项目需求响应承诺函</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采购项目简要说明：</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1、本次招标采购：本工程为</w:t>
      </w:r>
      <w:r>
        <w:rPr>
          <w:rFonts w:hint="eastAsia" w:ascii="宋体" w:hAnsi="宋体" w:cs="宋体"/>
          <w:color w:val="auto"/>
          <w:sz w:val="24"/>
          <w:highlight w:val="none"/>
          <w:lang w:eastAsia="zh-CN"/>
        </w:rPr>
        <w:t xml:space="preserve">长荡镇胜利桥工业园区（西区）雨水管网改造提升项目</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具体以招标人提供的工程量清单、图纸为准。</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2、质量要求：合格</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3、合同履行期限：90日历天</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4、预算金额：247.56万元</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5、履约地点：</w:t>
      </w:r>
      <w:r>
        <w:rPr>
          <w:rFonts w:hint="eastAsia" w:ascii="宋体" w:hAnsi="宋体" w:cs="Times New Roman"/>
          <w:color w:val="auto"/>
          <w:sz w:val="24"/>
          <w:szCs w:val="24"/>
          <w:highlight w:val="none"/>
          <w:lang w:val="en-US" w:eastAsia="zh-CN"/>
        </w:rPr>
        <w:t xml:space="preserve">射阳县长荡镇境内</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6、采购方式：竞争性磋商</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7、评标方法：综合评分法</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二、采购需求</w:t>
      </w:r>
      <w:r/>
    </w:p>
    <w:p>
      <w:pPr>
        <w:pStyle w:val="1267"/>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详见工程量清单及图纸</w:t>
      </w:r>
      <w:r/>
    </w:p>
    <w:p>
      <w:pPr>
        <w:pStyle w:val="1267"/>
        <w:numPr>
          <w:ilvl w:val="0"/>
          <w:numId w:val="3"/>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付款方式：</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（1）合同签订后10日内采购人向成交供应商预付10%的合同价款，供应商书面明确表示无需预付款或主动要求降低预付款比例的，由双方另行商定；</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（2）工程竣工验收合格后付至中标价的60%（包括以前支付）；</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（3）工程竣工验收合格经审计后付至审计价的80%（包括以前支付）；</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（4）工程竣工验收合格满一年按审计结论结清剩余工程款。</w:t>
      </w:r>
      <w:r/>
    </w:p>
    <w:p>
      <w:pPr>
        <w:pStyle w:val="1267"/>
        <w:numPr>
          <w:ilvl w:val="0"/>
          <w:numId w:val="0"/>
        </w:numPr>
        <w:ind w:firstLine="480"/>
        <w:keepLines w:val="0"/>
        <w:keepNext w:val="0"/>
        <w:pageBreakBefore w:val="0"/>
        <w:spacing w:after="0"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（5）按以上进度付款，无任何利息补偿。付款时，承包人须开具税务部门认可的税务发票。</w:t>
      </w:r>
      <w:r/>
    </w:p>
    <w:p>
      <w:pPr>
        <w:pStyle w:val="1267"/>
        <w:numPr>
          <w:ilvl w:val="0"/>
          <w:numId w:val="3"/>
        </w:numPr>
        <w:ind w:left="0" w:firstLine="480"/>
        <w:keepLines w:val="0"/>
        <w:keepNext w:val="0"/>
        <w:pageBreakBefore w:val="0"/>
        <w:spacing w:after="0" w:line="480" w:lineRule="exact"/>
        <w:widowControl w:val="off"/>
        <w:rPr>
          <w:rFonts w:ascii="宋体" w:hAnsi="宋体" w:cs="宋体"/>
          <w:color w:val="auto"/>
          <w:sz w:val="24"/>
          <w:highlight w:val="none"/>
          <w:lang w:val="en-US" w:eastAsia="zh-CN"/>
        </w:rPr>
      </w:pPr>
      <w:r>
        <w:rPr>
          <w:rFonts w:ascii="宋体" w:hAnsi="宋体" w:cs="宋体"/>
          <w:color w:val="auto"/>
          <w:sz w:val="24"/>
          <w:highlight w:val="none"/>
          <w:lang w:val="en-US" w:eastAsia="zh-CN"/>
        </w:rPr>
        <w:t xml:space="preserve">其它：</w:t>
      </w:r>
      <w:r/>
    </w:p>
    <w:p>
      <w:pPr>
        <w:pStyle w:val="1267"/>
        <w:numPr>
          <w:ilvl w:val="0"/>
          <w:numId w:val="0"/>
        </w:numPr>
        <w:ind w:firstLine="482"/>
        <w:keepLines w:val="0"/>
        <w:keepNext w:val="0"/>
        <w:pageBreakBefore w:val="0"/>
        <w:spacing w:after="0" w:line="480" w:lineRule="exact"/>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1267"/>
        <w:numPr>
          <w:ilvl w:val="0"/>
          <w:numId w:val="0"/>
        </w:numPr>
        <w:ind w:firstLine="480"/>
        <w:keepLines w:val="0"/>
        <w:keepNext w:val="0"/>
        <w:pageBreakBefore w:val="0"/>
        <w:spacing w:after="0" w:line="480" w:lineRule="exact"/>
        <w:widowControl w:val="off"/>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lang w:val="en-US" w:eastAsia="zh-CN"/>
        </w:rPr>
        <w:t xml:space="preserve">、本项目报价含完成项目要求的一切费用，供应商应综合考虑在磋商报价中。</w:t>
      </w:r>
      <w:r/>
    </w:p>
    <w:p>
      <w:pPr>
        <w:pStyle w:val="1267"/>
        <w:numPr>
          <w:ilvl w:val="0"/>
          <w:numId w:val="0"/>
        </w:numPr>
        <w:ind w:firstLine="480"/>
        <w:keepLines w:val="0"/>
        <w:keepNext w:val="0"/>
        <w:pageBreakBefore w:val="0"/>
        <w:spacing w:after="0" w:line="480" w:lineRule="exact"/>
        <w:widowControl w:val="off"/>
        <w:tabs>
          <w:tab w:val="center" w:pos="4536" w:leader="none"/>
        </w:tabs>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lang w:val="en-US" w:eastAsia="zh-CN"/>
        </w:rPr>
        <w:t xml:space="preserve">、本次磋商不接受选择性报价。</w:t>
      </w:r>
      <w:r>
        <w:rPr>
          <w:rFonts w:hint="eastAsia" w:ascii="宋体" w:hAnsi="宋体" w:cs="宋体"/>
          <w:color w:val="auto"/>
          <w:sz w:val="24"/>
          <w:highlight w:val="none"/>
          <w:lang w:val="en-US" w:eastAsia="zh-CN"/>
        </w:rPr>
        <w:tab/>
      </w:r>
      <w:r/>
    </w:p>
    <w:p>
      <w:pPr>
        <w:pStyle w:val="1267"/>
        <w:numPr>
          <w:ilvl w:val="0"/>
          <w:numId w:val="0"/>
        </w:numPr>
        <w:ind w:firstLine="480"/>
        <w:keepLines w:val="0"/>
        <w:keepNext w:val="0"/>
        <w:pageBreakBefore w:val="0"/>
        <w:spacing w:after="0" w:line="480" w:lineRule="exact"/>
        <w:widowControl w:val="off"/>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lang w:val="en-US" w:eastAsia="zh-CN"/>
        </w:rPr>
        <w:t xml:space="preserve">、资格后审：在评审时，对磋商供应商的响应文件中资格性、符合性进行审查，确定供应商是否具备磋商资格以及是否具备成交资格。</w:t>
      </w:r>
      <w:r/>
    </w:p>
    <w:p>
      <w:pPr>
        <w:pStyle w:val="1267"/>
        <w:numPr>
          <w:ilvl w:val="0"/>
          <w:numId w:val="0"/>
        </w:numPr>
        <w:ind w:firstLine="480"/>
        <w:keepLines w:val="0"/>
        <w:keepNext w:val="0"/>
        <w:pageBreakBefore w:val="0"/>
        <w:spacing w:after="0" w:line="480" w:lineRule="exact"/>
        <w:widowControl w:val="off"/>
        <w:rPr>
          <w:rFonts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5</w:t>
      </w:r>
      <w:r>
        <w:rPr>
          <w:rFonts w:ascii="宋体" w:hAnsi="宋体" w:cs="宋体"/>
          <w:b w:val="0"/>
          <w:bCs w:val="0"/>
          <w:color w:val="auto"/>
          <w:sz w:val="24"/>
          <w:highlight w:val="none"/>
          <w:lang w:val="en-US" w:eastAsia="zh-CN"/>
        </w:rPr>
        <w:t xml:space="preserve">、供应商如未能在承诺时间内提供服务，采购人有权没收其履约保证金作为预定的损害赔偿而非罚款。</w:t>
      </w:r>
      <w:r/>
    </w:p>
    <w:p>
      <w:pPr>
        <w:pStyle w:val="1086"/>
        <w:ind w:firstLine="480"/>
        <w:jc w:val="both"/>
        <w:spacing w:beforeAutospacing="0" w:afterAutospacing="0" w:line="0" w:lineRule="atLeast"/>
        <w:rPr>
          <w:color w:val="auto"/>
          <w:highlight w:val="none"/>
        </w:rPr>
      </w:pPr>
      <w:r>
        <w:rPr>
          <w:color w:val="auto"/>
          <w:highlight w:val="none"/>
        </w:rPr>
        <w:t xml:space="preserve"> </w:t>
      </w:r>
      <w:r/>
    </w:p>
    <w:p>
      <w:pPr>
        <w:pStyle w:val="1267"/>
        <w:numPr>
          <w:ilvl w:val="0"/>
          <w:numId w:val="0"/>
        </w:numPr>
        <w:ind w:firstLine="420"/>
        <w:keepLines w:val="0"/>
        <w:keepNext w:val="0"/>
        <w:pageBreakBefore w:val="0"/>
        <w:spacing w:after="0" w:line="480" w:lineRule="exact"/>
        <w:widowControl w:val="off"/>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ind w:firstLine="422"/>
        <w:spacing w:before="240" w:after="120"/>
        <w:rPr>
          <w:rFonts w:hint="eastAsia" w:hAnsi="宋体" w:eastAsia="宋体"/>
          <w:b/>
          <w:color w:val="auto"/>
          <w:szCs w:val="28"/>
          <w:highlight w:val="none"/>
          <w:lang w:eastAsia="zh-CN"/>
        </w:rPr>
      </w:pPr>
      <w:r>
        <w:rPr>
          <w:rFonts w:hint="eastAsia" w:ascii="宋体" w:hAnsi="宋体" w:eastAsia="宋体" w:cs="宋体"/>
          <w:b/>
          <w:bCs w:val="0"/>
          <w:color w:val="auto"/>
          <w:sz w:val="21"/>
          <w:szCs w:val="21"/>
          <w:highlight w:val="none"/>
          <w:lang w:val="en-US" w:eastAsia="zh-CN"/>
        </w:rPr>
        <w:t xml:space="preserve"> </w:t>
      </w:r>
      <w:r>
        <w:rPr>
          <w:rFonts w:hint="eastAsia" w:hAnsi="宋体" w:eastAsia="宋体"/>
          <w:b/>
          <w:color w:val="auto"/>
          <w:szCs w:val="28"/>
          <w:highlight w:val="none"/>
        </w:rPr>
        <w:t xml:space="preserve">我公司承诺响应上述实质性响应内容</w:t>
      </w:r>
      <w:r>
        <w:rPr>
          <w:rFonts w:hint="eastAsia" w:hAnsi="宋体"/>
          <w:b/>
          <w:color w:val="auto"/>
          <w:szCs w:val="28"/>
          <w:highlight w:val="none"/>
          <w:lang w:eastAsia="zh-CN"/>
        </w:rPr>
        <w:t xml:space="preserve">。</w:t>
      </w:r>
      <w:r/>
    </w:p>
    <w:p>
      <w:pPr>
        <w:jc w:val="both"/>
        <w:spacing w:before="240" w:after="120"/>
        <w:rPr>
          <w:rFonts w:hint="eastAsia" w:hAnsi="宋体"/>
          <w:b/>
          <w:bCs/>
          <w:color w:val="auto"/>
          <w:sz w:val="32"/>
          <w:szCs w:val="32"/>
          <w:highlight w:val="none"/>
        </w:rPr>
      </w:pPr>
      <w:r>
        <w:rPr>
          <w:rFonts w:hint="eastAsia" w:hAnsi="宋体"/>
          <w:b/>
          <w:bCs/>
          <w:color w:val="auto"/>
          <w:sz w:val="32"/>
          <w:szCs w:val="32"/>
          <w:highlight w:val="none"/>
        </w:rPr>
      </w:r>
      <w:r/>
    </w:p>
    <w:p>
      <w:pPr>
        <w:ind w:firstLine="2940"/>
        <w:rPr>
          <w:rFonts w:hAnsi="宋体"/>
          <w:bCs/>
          <w:color w:val="auto"/>
          <w:szCs w:val="28"/>
          <w:highlight w:val="none"/>
        </w:rPr>
      </w:pPr>
      <w:r>
        <w:rPr>
          <w:rFonts w:hint="eastAsia" w:hAnsi="宋体"/>
          <w:bCs/>
          <w:color w:val="auto"/>
          <w:szCs w:val="28"/>
          <w:highlight w:val="none"/>
        </w:rPr>
        <w:t xml:space="preserve">投标人（公章）：</w:t>
      </w:r>
      <w:r/>
    </w:p>
    <w:p>
      <w:pPr>
        <w:ind w:firstLine="2940"/>
        <w:rPr>
          <w:rFonts w:hAnsi="宋体"/>
          <w:bCs/>
          <w:color w:val="auto"/>
          <w:szCs w:val="28"/>
          <w:highlight w:val="none"/>
        </w:rPr>
      </w:pPr>
      <w:r>
        <w:rPr>
          <w:rFonts w:hint="eastAsia" w:hAnsi="宋体"/>
          <w:bCs/>
          <w:color w:val="auto"/>
          <w:szCs w:val="28"/>
          <w:highlight w:val="none"/>
        </w:rPr>
        <w:t xml:space="preserve">法定代表人或授权委托人：（签字或盖章）</w:t>
      </w:r>
      <w:r/>
    </w:p>
    <w:p>
      <w:pPr>
        <w:ind w:firstLine="3360"/>
        <w:rPr>
          <w:rFonts w:hAnsi="宋体"/>
          <w:bCs/>
          <w:color w:val="auto"/>
          <w:szCs w:val="28"/>
          <w:highlight w:val="none"/>
        </w:rPr>
      </w:pPr>
      <w:r>
        <w:rPr>
          <w:rFonts w:hint="eastAsia" w:hAnsi="宋体"/>
          <w:bCs/>
          <w:color w:val="auto"/>
          <w:szCs w:val="28"/>
          <w:highlight w:val="none"/>
        </w:rPr>
        <w:t xml:space="preserve">日期：</w:t>
      </w:r>
      <w:r>
        <w:rPr>
          <w:rFonts w:hAnsi="宋体"/>
          <w:bCs/>
          <w:color w:val="auto"/>
          <w:szCs w:val="28"/>
          <w:highlight w:val="none"/>
          <w:u w:val="single"/>
        </w:rPr>
        <w:t xml:space="preserve">      </w:t>
      </w:r>
      <w:r>
        <w:rPr>
          <w:rFonts w:hint="eastAsia" w:hAnsi="宋体"/>
          <w:bCs/>
          <w:color w:val="auto"/>
          <w:szCs w:val="28"/>
          <w:highlight w:val="none"/>
        </w:rPr>
        <w:t xml:space="preserve">年</w:t>
      </w:r>
      <w:r>
        <w:rPr>
          <w:rFonts w:hAnsi="宋体"/>
          <w:bCs/>
          <w:color w:val="auto"/>
          <w:szCs w:val="28"/>
          <w:highlight w:val="none"/>
        </w:rPr>
        <w:t xml:space="preserve"> </w:t>
      </w:r>
      <w:r>
        <w:rPr>
          <w:rFonts w:hAnsi="宋体"/>
          <w:bCs/>
          <w:color w:val="auto"/>
          <w:szCs w:val="28"/>
          <w:highlight w:val="none"/>
          <w:u w:val="single"/>
        </w:rPr>
        <w:t xml:space="preserve">    </w:t>
      </w:r>
      <w:r>
        <w:rPr>
          <w:rFonts w:hint="eastAsia" w:hAnsi="宋体"/>
          <w:bCs/>
          <w:color w:val="auto"/>
          <w:szCs w:val="28"/>
          <w:highlight w:val="none"/>
        </w:rPr>
        <w:t xml:space="preserve">月</w:t>
      </w:r>
      <w:r>
        <w:rPr>
          <w:rFonts w:hAnsi="宋体"/>
          <w:bCs/>
          <w:color w:val="auto"/>
          <w:szCs w:val="28"/>
          <w:highlight w:val="none"/>
          <w:u w:val="single"/>
        </w:rPr>
        <w:t xml:space="preserve">     </w:t>
      </w:r>
      <w:r>
        <w:rPr>
          <w:rFonts w:hint="eastAsia" w:hAnsi="宋体"/>
          <w:bCs/>
          <w:color w:val="auto"/>
          <w:szCs w:val="28"/>
          <w:highlight w:val="none"/>
        </w:rPr>
        <w:t xml:space="preserve">日</w:t>
      </w:r>
      <w:r/>
    </w:p>
    <w:p>
      <w:pPr>
        <w:pStyle w:val="1081"/>
        <w:rPr>
          <w:rFonts w:hint="eastAsia"/>
          <w:color w:val="auto"/>
          <w:highlight w:val="none"/>
        </w:rPr>
      </w:pPr>
      <w:r>
        <w:rPr>
          <w:rFonts w:hint="eastAsia"/>
          <w:color w:val="auto"/>
          <w:highlight w:val="none"/>
        </w:rPr>
      </w:r>
      <w:r/>
    </w:p>
    <w:p>
      <w:pPr>
        <w:pStyle w:val="1051"/>
        <w:numPr>
          <w:ilvl w:val="0"/>
          <w:numId w:val="0"/>
        </w:numPr>
        <w:jc w:val="center"/>
        <w:spacing w:before="0" w:after="0"/>
        <w:rPr>
          <w:rFonts w:hint="eastAsia"/>
          <w:color w:val="auto"/>
          <w:highlight w:val="none"/>
        </w:rPr>
      </w:pPr>
      <w:r>
        <w:rPr>
          <w:rFonts w:hint="eastAsia"/>
          <w:color w:val="auto"/>
          <w:highlight w:val="none"/>
        </w:rPr>
      </w:r>
      <w:r/>
    </w:p>
    <w:p>
      <w:pPr>
        <w:pStyle w:val="1051"/>
        <w:numPr>
          <w:ilvl w:val="0"/>
          <w:numId w:val="0"/>
        </w:numPr>
        <w:jc w:val="center"/>
        <w:spacing w:before="0" w:after="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089"/>
        <w:rPr>
          <w:rFonts w:hint="eastAsia"/>
          <w:color w:val="auto"/>
          <w:highlight w:val="none"/>
        </w:rPr>
      </w:pPr>
      <w:r>
        <w:rPr>
          <w:rFonts w:hint="eastAsia"/>
          <w:color w:val="auto"/>
          <w:highlight w:val="none"/>
        </w:rPr>
      </w:r>
      <w:r/>
    </w:p>
    <w:p>
      <w:pPr>
        <w:pStyle w:val="1244"/>
        <w:spacing w:line="520" w:lineRule="atLeast"/>
        <w:rPr>
          <w:rFonts w:ascii="宋体" w:hAnsi="宋体" w:cs="宋体"/>
          <w:color w:val="auto"/>
          <w:sz w:val="24"/>
          <w:highlight w:val="none"/>
        </w:rPr>
      </w:pPr>
      <w:r>
        <w:rPr>
          <w:rFonts w:hint="eastAsia" w:eastAsia="黑体"/>
          <w:color w:val="auto"/>
          <w:highlight w:val="none"/>
          <w:lang w:val="en-US" w:eastAsia="zh-CN"/>
        </w:rPr>
        <w:t xml:space="preserve">10</w:t>
      </w:r>
      <w:r>
        <w:rPr>
          <w:rFonts w:hint="eastAsia" w:eastAsia="黑体"/>
          <w:color w:val="auto"/>
          <w:highlight w:val="none"/>
        </w:rPr>
        <w:t xml:space="preserve">、</w:t>
      </w:r>
      <w:r>
        <w:rPr>
          <w:rFonts w:hint="eastAsia"/>
          <w:color w:val="auto"/>
          <w:highlight w:val="none"/>
        </w:rPr>
        <w:t xml:space="preserve">政府采购事前信用承诺书</w:t>
      </w:r>
      <w:bookmarkEnd w:id="245"/>
      <w:r/>
      <w:bookmarkEnd w:id="246"/>
      <w:r/>
      <w:bookmarkEnd w:id="247"/>
      <w:r/>
      <w:bookmarkEnd w:id="248"/>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一）本单位对所提交的企（事）业单位基本信息、企（事）业负责人、项目负责人、技术负责人、从业资质和资格、财务状况、信誉等所有资料，均合法、真实、准确、有效，无任何伪造、修改、虚假成份，并对所提供资料的真实性负责；</w:t>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w:t>
      </w:r>
      <w:r>
        <w:rPr>
          <w:rFonts w:ascii="宋体" w:hAnsi="宋体" w:cs="宋体"/>
          <w:color w:val="auto"/>
          <w:sz w:val="24"/>
          <w:highlight w:val="none"/>
        </w:rPr>
        <w:t xml:space="preserve"> </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（四）严格遵守即时信息公示规定，及时更新维护</w:t>
      </w:r>
      <w:r>
        <w:rPr>
          <w:rFonts w:hint="eastAsia" w:ascii="宋体" w:hAnsi="宋体" w:cs="宋体"/>
          <w:color w:val="auto"/>
          <w:sz w:val="24"/>
          <w:highlight w:val="none"/>
          <w:lang w:val="en-US" w:eastAsia="zh-CN"/>
        </w:rPr>
        <w:t xml:space="preserve">盐城市</w:t>
      </w:r>
      <w:r>
        <w:rPr>
          <w:rFonts w:hint="eastAsia" w:ascii="宋体" w:hAnsi="宋体" w:cs="宋体"/>
          <w:color w:val="auto"/>
          <w:sz w:val="24"/>
          <w:highlight w:val="none"/>
        </w:rPr>
        <w:t xml:space="preserve">政府采购网中与本单位相关的信息；</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（六）自觉接受政府、行业组织、社会公众、新闻舆论的监督；</w:t>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（八）本人已认真阅读了上述承诺，并向本单位员工作了宣传教育。</w:t>
      </w:r>
      <w:r/>
    </w:p>
    <w:p>
      <w:pPr>
        <w:ind w:firstLine="48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法定代表人（签名或盖章）：</w:t>
      </w:r>
      <w:r/>
    </w:p>
    <w:p>
      <w:pPr>
        <w:ind w:firstLine="480"/>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投标</w:t>
      </w:r>
      <w:r>
        <w:rPr>
          <w:rFonts w:hint="eastAsia" w:ascii="宋体" w:hAnsi="宋体" w:cs="Segoe UI"/>
          <w:color w:val="auto"/>
          <w:sz w:val="24"/>
          <w:highlight w:val="none"/>
        </w:rPr>
        <w:t xml:space="preserve">单位</w:t>
      </w:r>
      <w:r>
        <w:rPr>
          <w:rFonts w:ascii="宋体" w:hAnsi="宋体" w:cs="Segoe UI"/>
          <w:color w:val="auto"/>
          <w:sz w:val="24"/>
          <w:highlight w:val="none"/>
        </w:rPr>
        <w:t xml:space="preserve">(电子签章)</w:t>
      </w:r>
      <w:r>
        <w:rPr>
          <w:rFonts w:hint="eastAsia" w:ascii="宋体" w:hAnsi="宋体" w:cs="Segoe UI"/>
          <w:color w:val="auto"/>
          <w:sz w:val="24"/>
          <w:highlight w:val="none"/>
        </w:rPr>
        <w:t xml:space="preserve">：</w:t>
      </w:r>
      <w:r/>
    </w:p>
    <w:p>
      <w:pPr>
        <w:ind w:firstLine="480"/>
        <w:jc w:val="right"/>
        <w:spacing w:line="520" w:lineRule="exact"/>
        <w:widowControl/>
        <w:rPr>
          <w:color w:val="auto"/>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rPr>
          <w:rFonts w:ascii="宋体" w:hAnsi="宋体" w:cs="宋体"/>
          <w:color w:val="auto"/>
          <w:sz w:val="24"/>
          <w:highlight w:val="non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    </w:t>
      </w:r>
      <w:r>
        <w:rPr>
          <w:rFonts w:hint="eastAsia" w:ascii="宋体" w:hAnsi="宋体" w:cs="宋体"/>
          <w:color w:val="auto"/>
          <w:sz w:val="24"/>
          <w:highlight w:val="none"/>
        </w:rPr>
        <w:t xml:space="preserve">月</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Start w:id="249" w:name="_Toc154670214"/>
      <w:r/>
      <w:bookmarkEnd w:id="249"/>
      <w:r/>
      <w:bookmarkStart w:id="250" w:name="_Toc101357909"/>
      <w:r/>
      <w:bookmarkEnd w:id="250"/>
      <w:r/>
      <w:bookmarkStart w:id="251" w:name="_Toc68706659"/>
      <w:r/>
      <w:bookmarkEnd w:id="251"/>
      <w:r/>
      <w:bookmarkStart w:id="252" w:name="_Toc151374128"/>
      <w:r/>
      <w:bookmarkEnd w:id="252"/>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bookmarkStart w:id="253" w:name="_Toc101166970"/>
      <w:r/>
      <w:bookmarkEnd w:id="253"/>
      <w:r/>
      <w:bookmarkStart w:id="254" w:name="_Toc56582937"/>
      <w:r/>
      <w:bookmarkEnd w:id="254"/>
      <w:r/>
      <w:bookmarkStart w:id="255" w:name="_Toc101342300"/>
      <w:r/>
      <w:bookmarkEnd w:id="255"/>
      <w:r/>
      <w:bookmarkStart w:id="256" w:name="_Toc101357911"/>
      <w:r/>
      <w:bookmarkEnd w:id="256"/>
      <w:r/>
      <w:bookmarkStart w:id="257" w:name="_Toc68706662"/>
      <w:r/>
      <w:bookmarkEnd w:id="257"/>
      <w:r/>
      <w:bookmarkStart w:id="258" w:name="_Toc151374135"/>
      <w:r/>
      <w:bookmarkStart w:id="259" w:name="_Toc154670221"/>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t xml:space="preserve">11、</w:t>
      </w:r>
      <w:bookmarkEnd w:id="258"/>
      <w:r/>
      <w:bookmarkEnd w:id="259"/>
      <w:r/>
      <w:bookmarkStart w:id="260" w:name="_Toc154670222"/>
      <w:r/>
      <w:bookmarkStart w:id="261" w:name="_Toc151374136"/>
      <w:r/>
      <w:bookmarkStart w:id="262" w:name="_Toc151374398"/>
      <w:r>
        <w:rPr>
          <w:rFonts w:hint="eastAsia" w:ascii="黑体" w:hAnsi="黑体" w:eastAsia="黑体" w:cs="Times New Roman"/>
          <w:b/>
          <w:bCs/>
          <w:color w:val="auto"/>
          <w:sz w:val="32"/>
          <w:szCs w:val="32"/>
          <w:highlight w:val="none"/>
          <w:lang w:val="en-US" w:eastAsia="zh-CN" w:bidi="ar-SA"/>
        </w:rPr>
        <w:t xml:space="preserve">投标人按评分标准要求分点表述，格式自拟</w:t>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供应商</w:t>
      </w:r>
      <w:r>
        <w:rPr>
          <w:rFonts w:hint="eastAsia" w:ascii="宋体" w:hAnsi="宋体" w:cs="宋体"/>
          <w:color w:val="auto"/>
          <w:sz w:val="28"/>
          <w:szCs w:val="28"/>
          <w:highlight w:val="none"/>
        </w:rPr>
        <w:t xml:space="preserve">根据评标细则中的相关要求自行编制，格式自制）</w:t>
      </w:r>
      <w:bookmarkEnd w:id="260"/>
      <w:r/>
      <w:bookmarkEnd w:id="261"/>
      <w:r/>
      <w:bookmarkEnd w:id="262"/>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center"/>
        <w:spacing w:before="120" w:after="120" w:line="460" w:lineRule="exact"/>
        <w:rPr>
          <w:rFonts w:ascii="宋体" w:hAnsi="宋体" w:cs="宋体"/>
          <w:color w:val="auto"/>
          <w:sz w:val="28"/>
          <w:szCs w:val="28"/>
          <w:highlight w:val="none"/>
        </w:rPr>
        <w:outlineLvl w:val="0"/>
      </w:pPr>
      <w:r>
        <w:rPr>
          <w:rFonts w:ascii="宋体" w:hAnsi="宋体" w:cs="宋体"/>
          <w:color w:val="auto"/>
          <w:sz w:val="28"/>
          <w:szCs w:val="28"/>
          <w:highlight w:val="none"/>
        </w:rPr>
      </w:r>
      <w:r/>
    </w:p>
    <w:p>
      <w:pPr>
        <w:jc w:val="left"/>
        <w:spacing w:line="480" w:lineRule="exact"/>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jc w:val="center"/>
        <w:spacing w:before="240" w:after="120"/>
        <w:rPr>
          <w:rFonts w:hint="eastAsia" w:ascii="Arial" w:hAnsi="宋体" w:eastAsia="宋体"/>
          <w:b/>
          <w:bCs/>
          <w:color w:val="auto"/>
          <w:sz w:val="32"/>
          <w:szCs w:val="32"/>
          <w:highlight w:val="none"/>
        </w:rPr>
      </w:pPr>
      <w:r>
        <w:rPr>
          <w:rFonts w:hint="eastAsia" w:ascii="Arial" w:hAnsi="宋体" w:eastAsia="宋体"/>
          <w:b/>
          <w:bCs/>
          <w:color w:val="auto"/>
          <w:sz w:val="32"/>
          <w:szCs w:val="32"/>
          <w:highlight w:val="none"/>
        </w:rPr>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t xml:space="preserve">12、拟派项目组成员资格证明材料</w:t>
      </w:r>
      <w:r/>
    </w:p>
    <w:tbl>
      <w:tblPr>
        <w:tblStyle w:val="1060"/>
        <w:tblpPr w:horzAnchor="page" w:tblpX="1257" w:vertAnchor="text" w:tblpY="120" w:leftFromText="180" w:topFromText="0" w:rightFromText="180" w:bottomFromText="0"/>
        <w:tblW w:w="9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2593"/>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出生</w:t>
            </w:r>
            <w:r/>
          </w:p>
          <w:p>
            <w:pPr>
              <w:jc w:val="center"/>
              <w:rPr>
                <w:rFonts w:hAnsi="宋体" w:cs="宋体"/>
                <w:color w:val="auto"/>
                <w:sz w:val="24"/>
                <w:szCs w:val="21"/>
                <w:highlight w:val="none"/>
              </w:rPr>
            </w:pPr>
            <w:r>
              <w:rPr>
                <w:rFonts w:hint="eastAsia" w:hAnsi="宋体" w:cs="宋体"/>
                <w:color w:val="auto"/>
                <w:sz w:val="24"/>
                <w:szCs w:val="21"/>
                <w:highlight w:val="none"/>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int="eastAsia" w:hAnsi="宋体" w:cs="宋体"/>
                <w:color w:val="auto"/>
                <w:sz w:val="24"/>
                <w:szCs w:val="21"/>
                <w:highlight w:val="none"/>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color w:val="auto"/>
                <w:sz w:val="24"/>
                <w:szCs w:val="21"/>
                <w:highlight w:val="none"/>
              </w:rPr>
            </w:pPr>
            <w:r>
              <w:rPr>
                <w:rFonts w:hAnsi="宋体" w:cs="宋体"/>
                <w:color w:val="auto"/>
                <w:sz w:val="24"/>
                <w:szCs w:val="21"/>
                <w:highlight w:val="none"/>
              </w:rPr>
            </w:r>
            <w:r/>
          </w:p>
        </w:tc>
      </w:tr>
    </w:tbl>
    <w:p>
      <w:pPr>
        <w:ind w:firstLine="720"/>
        <w:rPr>
          <w:rFonts w:hAnsi="宋体"/>
          <w:color w:val="auto"/>
          <w:sz w:val="24"/>
          <w:highlight w:val="none"/>
        </w:rPr>
      </w:pPr>
      <w:r>
        <w:rPr>
          <w:rFonts w:hAnsi="宋体"/>
          <w:color w:val="auto"/>
          <w:sz w:val="24"/>
          <w:highlight w:val="none"/>
        </w:rPr>
      </w:r>
      <w:r/>
    </w:p>
    <w:p>
      <w:pPr>
        <w:ind w:firstLine="720"/>
        <w:rPr>
          <w:rFonts w:hint="eastAsia" w:hAnsi="宋体" w:eastAsia="宋体"/>
          <w:color w:val="auto"/>
          <w:sz w:val="24"/>
          <w:highlight w:val="none"/>
        </w:rPr>
      </w:pPr>
      <w:r>
        <w:rPr>
          <w:rFonts w:hint="eastAsia" w:hAnsi="宋体" w:eastAsia="宋体"/>
          <w:color w:val="auto"/>
          <w:sz w:val="24"/>
          <w:highlight w:val="none"/>
        </w:rPr>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投标人（公章）：</w:t>
      </w:r>
      <w:r/>
    </w:p>
    <w:p>
      <w:pPr>
        <w:ind w:firstLine="2940"/>
        <w:rPr>
          <w:rFonts w:hAnsi="宋体" w:eastAsia="宋体"/>
          <w:bCs/>
          <w:color w:val="auto"/>
          <w:szCs w:val="28"/>
          <w:highlight w:val="none"/>
        </w:rPr>
      </w:pPr>
      <w:r>
        <w:rPr>
          <w:rFonts w:hint="eastAsia" w:hAnsi="宋体" w:eastAsia="宋体"/>
          <w:bCs/>
          <w:color w:val="auto"/>
          <w:szCs w:val="28"/>
          <w:highlight w:val="none"/>
        </w:rPr>
        <w:t xml:space="preserve">法定代表人或授权委托人：（签字或盖章）</w:t>
      </w:r>
      <w:r/>
    </w:p>
    <w:p>
      <w:pPr>
        <w:ind w:firstLine="3360"/>
        <w:rPr>
          <w:rFonts w:hAnsi="宋体" w:eastAsia="宋体"/>
          <w:bCs/>
          <w:color w:val="auto"/>
          <w:szCs w:val="28"/>
          <w:highlight w:val="none"/>
        </w:rPr>
      </w:pPr>
      <w:r>
        <w:rPr>
          <w:rFonts w:hint="eastAsia" w:hAnsi="宋体" w:eastAsia="宋体"/>
          <w:bCs/>
          <w:color w:val="auto"/>
          <w:szCs w:val="28"/>
          <w:highlight w:val="none"/>
        </w:rPr>
        <w:t xml:space="preserve">日期：</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月</w:t>
      </w:r>
      <w:r>
        <w:rPr>
          <w:rFonts w:hAnsi="宋体" w:eastAsia="宋体"/>
          <w:bCs/>
          <w:color w:val="auto"/>
          <w:szCs w:val="28"/>
          <w:highlight w:val="none"/>
          <w:u w:val="single"/>
        </w:rPr>
        <w:t xml:space="preserve">     </w:t>
      </w:r>
      <w:r>
        <w:rPr>
          <w:rFonts w:hint="eastAsia" w:hAnsi="宋体" w:eastAsia="宋体"/>
          <w:bCs/>
          <w:color w:val="auto"/>
          <w:szCs w:val="28"/>
          <w:highlight w:val="none"/>
        </w:rPr>
        <w:t xml:space="preserve">日</w:t>
      </w:r>
      <w:r/>
    </w:p>
    <w:p>
      <w:pPr>
        <w:pStyle w:val="1051"/>
        <w:numPr>
          <w:ilvl w:val="0"/>
          <w:numId w:val="0"/>
        </w:numPr>
        <w:jc w:val="center"/>
        <w:rPr>
          <w:rFonts w:hint="eastAsia" w:hAnsi="宋体" w:eastAsia="宋体"/>
          <w:color w:val="auto"/>
          <w:highlight w:val="none"/>
        </w:rPr>
      </w:pPr>
      <w:r>
        <w:rPr>
          <w:rFonts w:hint="eastAsia" w:hAnsi="宋体" w:eastAsia="宋体"/>
          <w:color w:val="auto"/>
          <w:highlight w:val="none"/>
        </w:rPr>
      </w:r>
      <w:r/>
    </w:p>
    <w:p>
      <w:pPr>
        <w:rPr>
          <w:rFonts w:hint="eastAsia"/>
          <w:color w:val="auto"/>
          <w:highlight w:val="none"/>
        </w:rPr>
      </w:pPr>
      <w:r>
        <w:rPr>
          <w:rFonts w:hint="eastAsia"/>
          <w:color w:val="auto"/>
          <w:highlight w:val="none"/>
        </w:rPr>
      </w:r>
      <w:r/>
    </w:p>
    <w:p>
      <w:pPr>
        <w:pStyle w:val="1089"/>
        <w:ind w:left="560" w:firstLine="48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53"/>
        <w:rPr>
          <w:rFonts w:hint="eastAsia"/>
          <w:color w:val="auto"/>
          <w:highlight w:val="none"/>
        </w:rPr>
      </w:pPr>
      <w:r>
        <w:rPr>
          <w:rFonts w:hint="eastAsia"/>
          <w:color w:val="auto"/>
          <w:highlight w:val="none"/>
        </w:rPr>
      </w:r>
      <w:r/>
    </w:p>
    <w:p>
      <w:pPr>
        <w:pStyle w:val="1089"/>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67"/>
        <w:rPr>
          <w:rFonts w:hint="eastAsia"/>
          <w:color w:val="auto"/>
          <w:highlight w:val="none"/>
        </w:rPr>
      </w:pPr>
      <w:r>
        <w:rPr>
          <w:rFonts w:hint="eastAsia"/>
          <w:color w:val="auto"/>
          <w:highlight w:val="none"/>
        </w:rPr>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r>
      <w:r/>
    </w:p>
    <w:p>
      <w:pPr>
        <w:jc w:val="center"/>
        <w:spacing w:before="120" w:after="120" w:line="460" w:lineRule="exact"/>
        <w:rPr>
          <w:rFonts w:hint="eastAsia" w:ascii="黑体" w:hAnsi="黑体" w:eastAsia="黑体" w:cs="Times New Roman"/>
          <w:b/>
          <w:bCs/>
          <w:color w:val="auto"/>
          <w:sz w:val="32"/>
          <w:szCs w:val="32"/>
          <w:highlight w:val="none"/>
          <w:lang w:val="en-US" w:eastAsia="zh-CN" w:bidi="ar-SA"/>
        </w:rPr>
        <w:outlineLvl w:val="0"/>
      </w:pPr>
      <w:r>
        <w:rPr>
          <w:rFonts w:hint="eastAsia" w:ascii="黑体" w:hAnsi="黑体" w:eastAsia="黑体" w:cs="Times New Roman"/>
          <w:b/>
          <w:bCs/>
          <w:color w:val="auto"/>
          <w:sz w:val="32"/>
          <w:szCs w:val="32"/>
          <w:highlight w:val="none"/>
          <w:lang w:val="en-US" w:eastAsia="zh-CN" w:bidi="ar-SA"/>
        </w:rPr>
        <w:t xml:space="preserve">13、投标人类似业绩项目一览表</w:t>
      </w:r>
      <w:r/>
    </w:p>
    <w:tbl>
      <w:tblPr>
        <w:tblStyle w:val="1060"/>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jc w:val="center"/>
              <w:rPr>
                <w:bCs/>
                <w:color w:val="auto"/>
                <w:szCs w:val="28"/>
                <w:highlight w:val="none"/>
              </w:rPr>
            </w:pPr>
            <w:r>
              <w:rPr>
                <w:rFonts w:hint="eastAsia"/>
                <w:bCs/>
                <w:color w:val="auto"/>
                <w:szCs w:val="28"/>
                <w:highlight w:val="none"/>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jc w:val="center"/>
              <w:rPr>
                <w:bCs/>
                <w:color w:val="auto"/>
                <w:szCs w:val="28"/>
                <w:highlight w:val="none"/>
              </w:rPr>
            </w:pPr>
            <w:r>
              <w:rPr>
                <w:rFonts w:hint="eastAsia"/>
                <w:bCs/>
                <w:color w:val="auto"/>
                <w:szCs w:val="28"/>
                <w:highlight w:val="none"/>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jc w:val="center"/>
              <w:rPr>
                <w:bCs/>
                <w:color w:val="auto"/>
                <w:szCs w:val="28"/>
                <w:highlight w:val="none"/>
              </w:rPr>
            </w:pPr>
            <w:r>
              <w:rPr>
                <w:rFonts w:hint="eastAsia"/>
                <w:bCs/>
                <w:color w:val="auto"/>
                <w:szCs w:val="28"/>
                <w:highlight w:val="none"/>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jc w:val="center"/>
              <w:rPr>
                <w:bCs/>
                <w:color w:val="auto"/>
                <w:szCs w:val="28"/>
                <w:highlight w:val="none"/>
              </w:rPr>
            </w:pPr>
            <w:r>
              <w:rPr>
                <w:rFonts w:hint="eastAsia"/>
                <w:bCs/>
                <w:color w:val="auto"/>
                <w:szCs w:val="28"/>
                <w:highlight w:val="none"/>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rPr>
                <w:bCs/>
                <w:color w:val="auto"/>
                <w:szCs w:val="28"/>
                <w:highlight w:val="none"/>
              </w:rPr>
            </w:pPr>
            <w:r>
              <w:rPr>
                <w:rFonts w:hint="eastAsia"/>
                <w:bCs/>
                <w:color w:val="auto"/>
                <w:szCs w:val="28"/>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rFonts w:hint="eastAsia"/>
                <w:bCs/>
                <w:color w:val="auto"/>
                <w:szCs w:val="28"/>
                <w:highlight w:val="none"/>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rPr>
                <w:bCs/>
                <w:color w:val="auto"/>
                <w:szCs w:val="28"/>
                <w:highlight w:val="none"/>
              </w:rPr>
            </w:pPr>
            <w:r>
              <w:rPr>
                <w:rFonts w:hint="eastAsia"/>
                <w:bCs/>
                <w:color w:val="auto"/>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rPr>
                <w:bCs/>
                <w:color w:val="auto"/>
                <w:szCs w:val="28"/>
                <w:highlight w:val="none"/>
              </w:rPr>
            </w:pPr>
            <w:r>
              <w:rPr>
                <w:rFonts w:hint="eastAsia"/>
                <w:bCs/>
                <w:color w:val="auto"/>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rPr>
                <w:bCs/>
                <w:color w:val="auto"/>
                <w:szCs w:val="28"/>
                <w:highlight w:val="none"/>
              </w:rPr>
            </w:pPr>
            <w:r>
              <w:rPr>
                <w:rFonts w:hint="eastAsia"/>
                <w:bCs/>
                <w:color w:val="auto"/>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rPr>
                <w:bCs/>
                <w:color w:val="auto"/>
                <w:szCs w:val="28"/>
                <w:highlight w:val="none"/>
              </w:rPr>
            </w:pPr>
            <w:r>
              <w:rPr>
                <w:rFonts w:hint="eastAsia"/>
                <w:bCs/>
                <w:color w:val="auto"/>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rPr>
                <w:bCs/>
                <w:color w:val="auto"/>
                <w:szCs w:val="28"/>
                <w:highlight w:val="none"/>
              </w:rPr>
            </w:pPr>
            <w:r>
              <w:rPr>
                <w:rFonts w:hint="eastAsia"/>
                <w:bCs/>
                <w:color w:val="auto"/>
                <w:szCs w:val="28"/>
                <w:highlight w:val="none"/>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1086"/>
              <w:ind w:firstLine="420"/>
              <w:jc w:val="center"/>
              <w:rPr>
                <w:bCs/>
                <w:color w:val="auto"/>
                <w:szCs w:val="28"/>
                <w:highlight w:val="none"/>
              </w:rPr>
            </w:pPr>
            <w:r>
              <w:rPr>
                <w:bCs/>
                <w:color w:val="auto"/>
                <w:szCs w:val="28"/>
                <w:highlight w:val="none"/>
              </w:rPr>
            </w:r>
            <w:r/>
          </w:p>
        </w:tc>
      </w:tr>
    </w:tbl>
    <w:p>
      <w:pPr>
        <w:ind w:firstLine="2940"/>
        <w:rPr>
          <w:rFonts w:hAnsi="宋体"/>
          <w:bCs/>
          <w:color w:val="auto"/>
          <w:szCs w:val="28"/>
          <w:highlight w:val="none"/>
        </w:rPr>
      </w:pPr>
      <w:r>
        <w:rPr>
          <w:rFonts w:hAnsi="宋体"/>
          <w:bCs/>
          <w:color w:val="auto"/>
          <w:szCs w:val="28"/>
          <w:highlight w:val="none"/>
        </w:rPr>
      </w:r>
      <w:r/>
    </w:p>
    <w:p>
      <w:pPr>
        <w:ind w:firstLine="2940"/>
        <w:rPr>
          <w:rFonts w:hAnsi="宋体"/>
          <w:bCs/>
          <w:color w:val="auto"/>
          <w:szCs w:val="28"/>
          <w:highlight w:val="none"/>
        </w:rPr>
      </w:pPr>
      <w:r>
        <w:rPr>
          <w:rFonts w:hAnsi="宋体"/>
          <w:bCs/>
          <w:color w:val="auto"/>
          <w:szCs w:val="28"/>
          <w:highlight w:val="none"/>
        </w:rPr>
      </w:r>
      <w:r/>
    </w:p>
    <w:p>
      <w:pPr>
        <w:ind w:firstLine="2940"/>
        <w:rPr>
          <w:rFonts w:hAnsi="宋体"/>
          <w:bCs/>
          <w:color w:val="auto"/>
          <w:szCs w:val="28"/>
          <w:highlight w:val="none"/>
        </w:rPr>
      </w:pPr>
      <w:r>
        <w:rPr>
          <w:rFonts w:hAnsi="宋体"/>
          <w:bCs/>
          <w:color w:val="auto"/>
          <w:szCs w:val="28"/>
          <w:highlight w:val="none"/>
        </w:rPr>
      </w:r>
      <w:r/>
    </w:p>
    <w:p>
      <w:pPr>
        <w:ind w:firstLine="2940"/>
        <w:rPr>
          <w:rFonts w:hAnsi="宋体"/>
          <w:bCs/>
          <w:color w:val="auto"/>
          <w:szCs w:val="28"/>
          <w:highlight w:val="none"/>
        </w:rPr>
      </w:pPr>
      <w:r>
        <w:rPr>
          <w:rFonts w:hint="eastAsia" w:hAnsi="宋体"/>
          <w:bCs/>
          <w:color w:val="auto"/>
          <w:szCs w:val="28"/>
          <w:highlight w:val="none"/>
        </w:rPr>
        <w:t xml:space="preserve">投标人（公章）：</w:t>
      </w:r>
      <w:r/>
    </w:p>
    <w:p>
      <w:pPr>
        <w:ind w:firstLine="2940"/>
        <w:rPr>
          <w:rFonts w:hAnsi="宋体"/>
          <w:bCs/>
          <w:color w:val="auto"/>
          <w:szCs w:val="28"/>
          <w:highlight w:val="none"/>
        </w:rPr>
      </w:pPr>
      <w:r>
        <w:rPr>
          <w:rFonts w:hint="eastAsia" w:hAnsi="宋体"/>
          <w:bCs/>
          <w:color w:val="auto"/>
          <w:szCs w:val="28"/>
          <w:highlight w:val="none"/>
        </w:rPr>
        <w:t xml:space="preserve">法定代表人或授权委托人：（签字或盖章）</w:t>
      </w:r>
      <w:r/>
    </w:p>
    <w:p>
      <w:pPr>
        <w:ind w:firstLine="3360"/>
        <w:rPr>
          <w:rFonts w:hAnsi="宋体"/>
          <w:bCs/>
          <w:color w:val="auto"/>
          <w:szCs w:val="28"/>
          <w:highlight w:val="none"/>
        </w:rPr>
      </w:pPr>
      <w:r>
        <w:rPr>
          <w:rFonts w:hint="eastAsia" w:hAnsi="宋体"/>
          <w:bCs/>
          <w:color w:val="auto"/>
          <w:szCs w:val="28"/>
          <w:highlight w:val="none"/>
        </w:rPr>
        <w:t xml:space="preserve">日期：</w:t>
      </w:r>
      <w:r>
        <w:rPr>
          <w:rFonts w:hAnsi="宋体"/>
          <w:bCs/>
          <w:color w:val="auto"/>
          <w:szCs w:val="28"/>
          <w:highlight w:val="none"/>
          <w:u w:val="single"/>
        </w:rPr>
        <w:t xml:space="preserve">      </w:t>
      </w:r>
      <w:r>
        <w:rPr>
          <w:rFonts w:hint="eastAsia" w:hAnsi="宋体"/>
          <w:bCs/>
          <w:color w:val="auto"/>
          <w:szCs w:val="28"/>
          <w:highlight w:val="none"/>
        </w:rPr>
        <w:t xml:space="preserve">年</w:t>
      </w:r>
      <w:r>
        <w:rPr>
          <w:rFonts w:hAnsi="宋体"/>
          <w:bCs/>
          <w:color w:val="auto"/>
          <w:szCs w:val="28"/>
          <w:highlight w:val="none"/>
        </w:rPr>
        <w:t xml:space="preserve"> </w:t>
      </w:r>
      <w:r>
        <w:rPr>
          <w:rFonts w:hAnsi="宋体"/>
          <w:bCs/>
          <w:color w:val="auto"/>
          <w:szCs w:val="28"/>
          <w:highlight w:val="none"/>
          <w:u w:val="single"/>
        </w:rPr>
        <w:t xml:space="preserve">    </w:t>
      </w:r>
      <w:r>
        <w:rPr>
          <w:rFonts w:hint="eastAsia" w:hAnsi="宋体"/>
          <w:bCs/>
          <w:color w:val="auto"/>
          <w:szCs w:val="28"/>
          <w:highlight w:val="none"/>
        </w:rPr>
        <w:t xml:space="preserve">月</w:t>
      </w:r>
      <w:r>
        <w:rPr>
          <w:rFonts w:hAnsi="宋体"/>
          <w:bCs/>
          <w:color w:val="auto"/>
          <w:szCs w:val="28"/>
          <w:highlight w:val="none"/>
          <w:u w:val="single"/>
        </w:rPr>
        <w:t xml:space="preserve">     </w:t>
      </w:r>
      <w:r>
        <w:rPr>
          <w:rFonts w:hint="eastAsia" w:hAnsi="宋体"/>
          <w:bCs/>
          <w:color w:val="auto"/>
          <w:szCs w:val="28"/>
          <w:highlight w:val="none"/>
        </w:rPr>
        <w:t xml:space="preserve">日</w:t>
      </w:r>
      <w:r/>
    </w:p>
    <w:p>
      <w:pPr>
        <w:rPr>
          <w:color w:val="auto"/>
          <w:highlight w:val="none"/>
        </w:rPr>
      </w:pPr>
      <w:r>
        <w:rPr>
          <w:color w:val="auto"/>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231"/>
      <w:bookmarkEnd w:id="232"/>
      <w:bookmarkEnd w:id="233"/>
      <w:r/>
    </w:p>
    <w:p>
      <w:pPr>
        <w:pStyle w:val="108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86"/>
        <w:jc w:val="both"/>
        <w:spacing w:beforeAutospacing="0" w:afterAutospacing="0" w:line="480" w:lineRule="auto"/>
        <w:rPr>
          <w:color w:val="auto"/>
          <w:highlight w:val="none"/>
        </w:rPr>
      </w:pPr>
      <w:r>
        <w:rPr>
          <w:color w:val="auto"/>
          <w:highlight w:val="none"/>
        </w:rPr>
      </w:r>
      <w:r/>
    </w:p>
    <w:sectPr>
      <w:footerReference w:type="default" r:id="rId2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楷体_GB2312">
    <w:panose1 w:val="02010609060101010101"/>
  </w:font>
  <w:font w:name="仿宋">
    <w:panose1 w:val="02010609060101010101"/>
  </w:font>
  <w:font w:name="等线">
    <w:panose1 w:val="02010600030101010101"/>
  </w:font>
  <w:font w:name="Wingdings">
    <w:panose1 w:val="05000000000000000000"/>
  </w:font>
  <w:font w:name="_x000B__x000C_">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宋体">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left" w:pos="3615" w:leader="none"/>
        <w:tab w:val="clear" w:pos="4153" w:leader="none"/>
        <w:tab w:val="clear" w:pos="8306"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1911" cy="284773"/>
              <wp:effectExtent l="7937" t="7937" r="7937" b="7937"/>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81910" cy="284772"/>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3pt;height:22.4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center"/>
      <w:widowControl w:val="off"/>
      <w:tabs>
        <w:tab w:val="left" w:pos="3615" w:leader="none"/>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7424" cy="284773"/>
              <wp:effectExtent l="7937" t="7937" r="7937" b="7937"/>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07423" cy="284772"/>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a:no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6.3pt;height:22.4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center"/>
      <w:widowControl w:val="off"/>
      <w:tabs>
        <w:tab w:val="left" w:pos="3615" w:leader="none"/>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center"/>
      <w:widowControl w:val="off"/>
      <w:tabs>
        <w:tab w:val="left" w:pos="3615" w:leader="none"/>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9390" cy="23177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99390" cy="231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5.7pt;height:18.2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4005" cy="30035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94005" cy="300355"/>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23.1pt;height:23.6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ascii="Times New Roman" w:hAnsi="Times New Roman" w:eastAsia="宋体" w:cs="Times New Roman"/>
      </w:rPr>
    </w:pPr>
    <w:r>
      <w:rPr>
        <w:rFonts w:ascii="Times New Roman" w:hAnsi="Times New Roman" w:eastAsia="宋体" w:cs="Times New Roman"/>
      </w:rPr>
    </w:r>
    <w:r/>
  </w:p>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94005" cy="300355"/>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94005" cy="300355"/>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a:no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23.1pt;height:23.6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ascii="Times New Roman" w:hAnsi="Times New Roman" w:eastAsia="宋体" w:cs="Times New Roman"/>
      </w:rPr>
    </w:pPr>
    <w:r>
      <w:rPr>
        <w:rFonts w:ascii="Times New Roman" w:hAnsi="Times New Roman" w:eastAsia="宋体" w:cs="Times New Roman"/>
      </w:rPr>
    </w:r>
    <w:r/>
  </w:p>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2952115</wp:posOffset>
              </wp:positionH>
              <wp:positionV relativeFrom="paragraph">
                <wp:posOffset>8504</wp:posOffset>
              </wp:positionV>
              <wp:extent cx="178197" cy="139526"/>
              <wp:effectExtent l="3175" t="3175" r="3175" b="3175"/>
              <wp:wrapNone/>
              <wp:docPr id="8" name="文本框 4"/>
              <wp:cNvGraphicFramePr/>
              <a:graphic xmlns:a="http://schemas.openxmlformats.org/drawingml/2006/main">
                <a:graphicData uri="http://schemas.microsoft.com/office/word/2010/wordprocessingShape">
                  <wps:wsp>
                    <wps:cNvPr id="0" name=""/>
                    <wps:cNvSpPr txBox="1"/>
                    <wps:spPr bwMode="auto">
                      <a:xfrm flipH="0" flipV="0">
                        <a:off x="0" y="0"/>
                        <a:ext cx="17819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jc w:val="center"/>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59264;o:allowoverlap:true;o:allowincell:true;mso-position-horizontal-relative:margin;margin-left:232.4pt;mso-position-horizontal:absolute;mso-position-vertical-relative:text;margin-top:0.7pt;mso-position-vertical:absolute;width:14.0pt;height:11.0pt;mso-wrap-distance-left:9.0pt;mso-wrap-distance-top:0.0pt;mso-wrap-distance-right:9.0pt;mso-wrap-distance-bottom:0.0pt;v-text-anchor:top;visibility:visible;" filled="f" stroked="f" strokeweight="0.50pt">
              <v:textbox inset="0,0,0,0">
                <w:txbxContent>
                  <w:p>
                    <w:pPr>
                      <w:pStyle w:val="1075"/>
                      <w:jc w:val="center"/>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159" cy="191301"/>
              <wp:effectExtent l="3175" t="3175" r="3175" b="3175"/>
              <wp:wrapNone/>
              <wp:docPr id="9" name="文本框 5"/>
              <wp:cNvGraphicFramePr/>
              <a:graphic xmlns:a="http://schemas.openxmlformats.org/drawingml/2006/main">
                <a:graphicData uri="http://schemas.microsoft.com/office/word/2010/wordprocessingShape">
                  <wps:wsp>
                    <wps:cNvPr id="0" name=""/>
                    <wps:cNvSpPr txBox="1"/>
                    <wps:spPr bwMode="auto">
                      <a:xfrm flipH="0" flipV="0">
                        <a:off x="0" y="0"/>
                        <a:ext cx="132159" cy="19130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0.4pt;height:15.1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80"/>
      </w:pPr>
      <w:r>
        <w:rPr>
          <w:rStyle w:val="1093"/>
        </w:rPr>
        <w:footnoteRef/>
      </w:r>
      <w:r>
        <w:t xml:space="preserve"> </w:t>
      </w:r>
      <w:r>
        <w:rPr>
          <w:rFonts w:hint="eastAsia" w:hAnsi="宋体"/>
          <w:color w:val="000000"/>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tabs>
        <w:tab w:val="left" w:pos="8376" w:leader="none"/>
      </w:tabs>
      <w:rPr>
        <w:rFonts w:hint="eastAsia"/>
      </w:rPr>
    </w:pPr>
    <w:r>
      <w:rPr>
        <w:rFonts w:hint="eastAsia"/>
      </w:rPr>
      <w:tab/>
    </w:r>
    <w:r/>
  </w:p>
  <w:p>
    <w:pPr>
      <w:pStyle w:val="1260"/>
      <w:tabs>
        <w:tab w:val="left" w:pos="8376" w:leader="none"/>
      </w:tabs>
      <w:rPr>
        <w:rFonts w:hint="eastAsia"/>
      </w:rPr>
    </w:pPr>
    <w:r>
      <w:rPr>
        <w:rFonts w:hint="eastAsia"/>
      </w:rPr>
    </w:r>
    <w:r/>
  </w:p>
  <w:p>
    <w:pPr>
      <w:pStyle w:val="1260"/>
      <w:ind w:firstLine="1080"/>
      <w:tabs>
        <w:tab w:val="left" w:pos="8376" w:leader="none"/>
      </w:tabs>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9" w:default="1">
    <w:name w:val="Normal"/>
    <w:next w:val="106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050">
    <w:name w:val="Heading 1"/>
    <w:basedOn w:val="1049"/>
    <w:next w:val="1049"/>
    <w:uiPriority w:val="9"/>
    <w:qFormat/>
    <w:pPr>
      <w:keepLines/>
      <w:keepNext/>
      <w:spacing w:before="480" w:after="200"/>
      <w:outlineLvl w:val="0"/>
    </w:pPr>
    <w:rPr>
      <w:rFonts w:ascii="Arial" w:hAnsi="Arial" w:eastAsia="Arial" w:cs="Arial"/>
      <w:sz w:val="40"/>
      <w:szCs w:val="40"/>
    </w:rPr>
  </w:style>
  <w:style w:type="paragraph" w:styleId="1051">
    <w:name w:val="Heading 2"/>
    <w:basedOn w:val="1049"/>
    <w:next w:val="10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052">
    <w:name w:val="Heading 3"/>
    <w:basedOn w:val="1049"/>
    <w:next w:val="1062"/>
    <w:uiPriority w:val="9"/>
    <w:unhideWhenUsed/>
    <w:qFormat/>
    <w:pPr>
      <w:keepLines/>
      <w:keepNext/>
      <w:spacing w:before="320" w:after="200"/>
      <w:outlineLvl w:val="2"/>
    </w:pPr>
    <w:rPr>
      <w:rFonts w:ascii="Arial" w:hAnsi="Arial" w:eastAsia="Arial" w:cs="Arial"/>
      <w:sz w:val="30"/>
      <w:szCs w:val="30"/>
    </w:rPr>
  </w:style>
  <w:style w:type="paragraph" w:styleId="1053">
    <w:name w:val="Heading 4"/>
    <w:basedOn w:val="1049"/>
    <w:next w:val="1049"/>
    <w:uiPriority w:val="9"/>
    <w:unhideWhenUsed/>
    <w:qFormat/>
    <w:pPr>
      <w:keepLines/>
      <w:keepNext/>
      <w:spacing w:before="320" w:after="200"/>
      <w:outlineLvl w:val="3"/>
    </w:pPr>
    <w:rPr>
      <w:rFonts w:ascii="Arial" w:hAnsi="Arial" w:eastAsia="Arial" w:cs="Arial"/>
      <w:b/>
      <w:bCs/>
      <w:sz w:val="26"/>
      <w:szCs w:val="26"/>
    </w:rPr>
  </w:style>
  <w:style w:type="paragraph" w:styleId="1054">
    <w:name w:val="Heading 5"/>
    <w:basedOn w:val="1049"/>
    <w:next w:val="1049"/>
    <w:uiPriority w:val="9"/>
    <w:unhideWhenUsed/>
    <w:qFormat/>
    <w:pPr>
      <w:keepLines/>
      <w:keepNext/>
      <w:spacing w:before="320" w:after="200"/>
      <w:outlineLvl w:val="4"/>
    </w:pPr>
    <w:rPr>
      <w:rFonts w:ascii="Arial" w:hAnsi="Arial" w:eastAsia="Arial" w:cs="Arial"/>
      <w:b/>
      <w:bCs/>
      <w:sz w:val="24"/>
      <w:szCs w:val="24"/>
    </w:rPr>
  </w:style>
  <w:style w:type="paragraph" w:styleId="1055">
    <w:name w:val="Heading 6"/>
    <w:basedOn w:val="1049"/>
    <w:next w:val="1049"/>
    <w:link w:val="1099"/>
    <w:uiPriority w:val="9"/>
    <w:unhideWhenUsed/>
    <w:qFormat/>
    <w:pPr>
      <w:keepLines/>
      <w:keepNext/>
      <w:spacing w:before="320" w:after="200"/>
      <w:outlineLvl w:val="5"/>
    </w:pPr>
    <w:rPr>
      <w:rFonts w:ascii="Arial" w:hAnsi="Arial" w:eastAsia="Arial" w:cs="Arial"/>
      <w:b/>
      <w:bCs/>
      <w:sz w:val="22"/>
      <w:szCs w:val="22"/>
    </w:rPr>
  </w:style>
  <w:style w:type="paragraph" w:styleId="1056">
    <w:name w:val="Heading 7"/>
    <w:basedOn w:val="1049"/>
    <w:next w:val="1049"/>
    <w:link w:val="1100"/>
    <w:uiPriority w:val="9"/>
    <w:unhideWhenUsed/>
    <w:qFormat/>
    <w:pPr>
      <w:keepLines/>
      <w:keepNext/>
      <w:spacing w:before="320" w:after="200"/>
      <w:outlineLvl w:val="6"/>
    </w:pPr>
    <w:rPr>
      <w:rFonts w:ascii="Arial" w:hAnsi="Arial" w:eastAsia="Arial" w:cs="Arial"/>
      <w:b/>
      <w:bCs/>
      <w:i/>
      <w:iCs/>
      <w:sz w:val="22"/>
      <w:szCs w:val="22"/>
    </w:rPr>
  </w:style>
  <w:style w:type="paragraph" w:styleId="1057">
    <w:name w:val="Heading 8"/>
    <w:basedOn w:val="1049"/>
    <w:next w:val="1049"/>
    <w:link w:val="1101"/>
    <w:uiPriority w:val="9"/>
    <w:unhideWhenUsed/>
    <w:qFormat/>
    <w:pPr>
      <w:keepLines/>
      <w:keepNext/>
      <w:spacing w:before="320" w:after="200"/>
      <w:outlineLvl w:val="7"/>
    </w:pPr>
    <w:rPr>
      <w:rFonts w:ascii="Arial" w:hAnsi="Arial" w:eastAsia="Arial" w:cs="Arial"/>
      <w:i/>
      <w:iCs/>
      <w:sz w:val="22"/>
      <w:szCs w:val="22"/>
    </w:rPr>
  </w:style>
  <w:style w:type="paragraph" w:styleId="1058">
    <w:name w:val="Heading 9"/>
    <w:basedOn w:val="1049"/>
    <w:next w:val="1049"/>
    <w:link w:val="1102"/>
    <w:uiPriority w:val="9"/>
    <w:unhideWhenUsed/>
    <w:qFormat/>
    <w:pPr>
      <w:keepLines/>
      <w:keepNext/>
      <w:spacing w:before="320" w:after="200"/>
      <w:outlineLvl w:val="8"/>
    </w:pPr>
    <w:rPr>
      <w:rFonts w:ascii="Arial" w:hAnsi="Arial" w:eastAsia="Arial" w:cs="Arial"/>
      <w:i/>
      <w:iCs/>
      <w:sz w:val="21"/>
      <w:szCs w:val="21"/>
    </w:rPr>
  </w:style>
  <w:style w:type="character" w:styleId="1059" w:default="1">
    <w:name w:val="Default Paragraph Font"/>
    <w:uiPriority w:val="1"/>
    <w:semiHidden/>
    <w:unhideWhenUsed/>
    <w:qFormat/>
  </w:style>
  <w:style w:type="table" w:styleId="1060" w:default="1">
    <w:name w:val="Normal Table"/>
    <w:uiPriority w:val="99"/>
    <w:semiHidden/>
    <w:unhideWhenUsed/>
    <w:qFormat/>
    <w:tblPr>
      <w:tblCellMar>
        <w:left w:w="108" w:type="dxa"/>
        <w:top w:w="0" w:type="dxa"/>
        <w:right w:w="108" w:type="dxa"/>
        <w:bottom w:w="0" w:type="dxa"/>
      </w:tblCellMar>
    </w:tblPr>
  </w:style>
  <w:style w:type="paragraph" w:styleId="1061" w:customStyle="1">
    <w:name w:val="Default"/>
    <w:uiPriority w:val="0"/>
    <w:semiHidden/>
    <w:qFormat/>
    <w:pPr>
      <w:jc w:val="left"/>
      <w:widowControl w:val="off"/>
    </w:pPr>
    <w:rPr>
      <w:rFonts w:hint="default" w:ascii="宋体" w:hAnsi="Calibri" w:eastAsia="宋体" w:cs="宋体"/>
      <w:color w:val="000000"/>
      <w:sz w:val="24"/>
      <w:szCs w:val="24"/>
      <w:lang w:val="en-US" w:eastAsia="zh-CN" w:bidi="ar-SA"/>
    </w:rPr>
  </w:style>
  <w:style w:type="paragraph" w:styleId="1062">
    <w:name w:val="Normal Indent"/>
    <w:basedOn w:val="1049"/>
    <w:uiPriority w:val="0"/>
    <w:qFormat/>
    <w:pPr>
      <w:ind w:firstLine="420"/>
    </w:pPr>
    <w:rPr>
      <w:szCs w:val="20"/>
    </w:rPr>
  </w:style>
  <w:style w:type="paragraph" w:styleId="1063">
    <w:name w:val="toc 7"/>
    <w:basedOn w:val="1049"/>
    <w:next w:val="1049"/>
    <w:uiPriority w:val="39"/>
    <w:unhideWhenUsed/>
    <w:qFormat/>
    <w:pPr>
      <w:ind w:left="1701" w:right="0" w:firstLine="0"/>
      <w:spacing w:after="57"/>
    </w:pPr>
  </w:style>
  <w:style w:type="paragraph" w:styleId="1064">
    <w:name w:val="Caption"/>
    <w:basedOn w:val="1049"/>
    <w:next w:val="10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5">
    <w:name w:val="toa heading"/>
    <w:basedOn w:val="1049"/>
    <w:next w:val="1049"/>
    <w:uiPriority w:val="0"/>
    <w:qFormat/>
    <w:pPr>
      <w:spacing w:before="120"/>
    </w:pPr>
    <w:rPr>
      <w:rFonts w:ascii="Arial" w:hAnsi="Arial" w:eastAsia="宋体" w:cs="Arial"/>
      <w:sz w:val="24"/>
    </w:rPr>
  </w:style>
  <w:style w:type="paragraph" w:styleId="1066">
    <w:name w:val="Body Text"/>
    <w:basedOn w:val="1049"/>
    <w:uiPriority w:val="0"/>
    <w:qFormat/>
    <w:pPr>
      <w:spacing w:after="120"/>
    </w:pPr>
  </w:style>
  <w:style w:type="paragraph" w:styleId="1067">
    <w:name w:val="Body Text Indent"/>
    <w:basedOn w:val="1049"/>
    <w:next w:val="1068"/>
    <w:uiPriority w:val="0"/>
    <w:qFormat/>
    <w:pPr>
      <w:ind w:firstLine="600"/>
      <w:spacing w:line="360" w:lineRule="auto"/>
    </w:pPr>
    <w:rPr>
      <w:rFonts w:ascii="仿宋_GB2312" w:eastAsia="仿宋_GB2312"/>
      <w:sz w:val="30"/>
    </w:rPr>
  </w:style>
  <w:style w:type="paragraph" w:styleId="1068">
    <w:name w:val="envelope return"/>
    <w:basedOn w:val="1049"/>
    <w:uiPriority w:val="0"/>
    <w:qFormat/>
    <w:rPr>
      <w:rFonts w:ascii="Arial" w:hAnsi="Arial"/>
    </w:rPr>
  </w:style>
  <w:style w:type="paragraph" w:styleId="1069">
    <w:name w:val="toc 5"/>
    <w:basedOn w:val="1049"/>
    <w:next w:val="1049"/>
    <w:uiPriority w:val="39"/>
    <w:unhideWhenUsed/>
    <w:qFormat/>
    <w:pPr>
      <w:ind w:left="1134" w:right="0" w:firstLine="0"/>
      <w:spacing w:after="57"/>
    </w:pPr>
  </w:style>
  <w:style w:type="paragraph" w:styleId="1070">
    <w:name w:val="toc 3"/>
    <w:basedOn w:val="1049"/>
    <w:next w:val="1049"/>
    <w:uiPriority w:val="39"/>
    <w:unhideWhenUsed/>
    <w:qFormat/>
    <w:pPr>
      <w:ind w:left="567" w:right="0" w:firstLine="0"/>
      <w:spacing w:after="57"/>
    </w:pPr>
  </w:style>
  <w:style w:type="paragraph" w:styleId="1071">
    <w:name w:val="Plain Text"/>
    <w:basedOn w:val="1049"/>
    <w:uiPriority w:val="0"/>
    <w:qFormat/>
    <w:rPr>
      <w:rFonts w:ascii="宋体" w:hAnsi="Courier New"/>
    </w:rPr>
  </w:style>
  <w:style w:type="paragraph" w:styleId="1072">
    <w:name w:val="toc 8"/>
    <w:basedOn w:val="1049"/>
    <w:next w:val="1049"/>
    <w:uiPriority w:val="39"/>
    <w:unhideWhenUsed/>
    <w:qFormat/>
    <w:pPr>
      <w:ind w:left="1984" w:right="0" w:firstLine="0"/>
      <w:spacing w:after="57"/>
    </w:pPr>
  </w:style>
  <w:style w:type="paragraph" w:styleId="1073">
    <w:name w:val="Body Text Indent 2"/>
    <w:uiPriority w:val="0"/>
    <w:qFormat/>
    <w:pPr>
      <w:ind w:firstLine="525"/>
      <w:jc w:val="both"/>
      <w:spacing w:line="420" w:lineRule="exact"/>
      <w:widowControl w:val="off"/>
    </w:pPr>
    <w:rPr>
      <w:rFonts w:ascii="宋体" w:hAnsi="Times New Roman" w:eastAsia="宋体" w:cs="Times New Roman"/>
      <w:sz w:val="21"/>
      <w:szCs w:val="20"/>
      <w:lang w:val="en-US" w:eastAsia="zh-CN" w:bidi="ar-SA"/>
    </w:rPr>
  </w:style>
  <w:style w:type="paragraph" w:styleId="1074">
    <w:name w:val="endnote text"/>
    <w:basedOn w:val="1049"/>
    <w:link w:val="1240"/>
    <w:uiPriority w:val="99"/>
    <w:semiHidden/>
    <w:unhideWhenUsed/>
    <w:qFormat/>
    <w:pPr>
      <w:spacing w:after="0" w:line="240" w:lineRule="auto"/>
    </w:pPr>
    <w:rPr>
      <w:sz w:val="20"/>
    </w:rPr>
  </w:style>
  <w:style w:type="paragraph" w:styleId="1075">
    <w:name w:val="Footer"/>
    <w:basedOn w:val="1049"/>
    <w:link w:val="1243"/>
    <w:uiPriority w:val="0"/>
    <w:qFormat/>
    <w:pPr>
      <w:jc w:val="left"/>
      <w:tabs>
        <w:tab w:val="center" w:pos="4153" w:leader="none"/>
        <w:tab w:val="right" w:pos="8306" w:leader="none"/>
      </w:tabs>
    </w:pPr>
    <w:rPr>
      <w:sz w:val="18"/>
      <w:szCs w:val="18"/>
    </w:rPr>
  </w:style>
  <w:style w:type="paragraph" w:styleId="1076">
    <w:name w:val="Header"/>
    <w:basedOn w:val="1049"/>
    <w:link w:val="1242"/>
    <w:uiPriority w:val="0"/>
    <w:qFormat/>
    <w:pPr>
      <w:jc w:val="center"/>
      <w:tabs>
        <w:tab w:val="center" w:pos="4153" w:leader="none"/>
        <w:tab w:val="right" w:pos="8306" w:leader="none"/>
      </w:tabs>
      <w:pBdr>
        <w:bottom w:val="single" w:color="auto" w:sz="6" w:space="1"/>
      </w:pBdr>
    </w:pPr>
    <w:rPr>
      <w:sz w:val="18"/>
      <w:szCs w:val="18"/>
    </w:rPr>
  </w:style>
  <w:style w:type="paragraph" w:styleId="1077">
    <w:name w:val="toc 1"/>
    <w:basedOn w:val="1049"/>
    <w:next w:val="1049"/>
    <w:uiPriority w:val="39"/>
    <w:unhideWhenUsed/>
    <w:qFormat/>
    <w:pPr>
      <w:ind w:left="0" w:right="0" w:firstLine="0"/>
      <w:spacing w:after="57"/>
    </w:pPr>
  </w:style>
  <w:style w:type="paragraph" w:styleId="1078">
    <w:name w:val="toc 4"/>
    <w:basedOn w:val="1049"/>
    <w:next w:val="1049"/>
    <w:uiPriority w:val="39"/>
    <w:unhideWhenUsed/>
    <w:qFormat/>
    <w:pPr>
      <w:ind w:left="850" w:right="0" w:firstLine="0"/>
      <w:spacing w:after="57"/>
    </w:pPr>
  </w:style>
  <w:style w:type="paragraph" w:styleId="1079">
    <w:name w:val="Subtitle"/>
    <w:basedOn w:val="1049"/>
    <w:next w:val="1049"/>
    <w:link w:val="1106"/>
    <w:uiPriority w:val="11"/>
    <w:qFormat/>
    <w:pPr>
      <w:spacing w:before="200" w:after="200"/>
    </w:pPr>
    <w:rPr>
      <w:sz w:val="24"/>
      <w:szCs w:val="24"/>
    </w:rPr>
  </w:style>
  <w:style w:type="paragraph" w:styleId="1080">
    <w:name w:val="footnote text"/>
    <w:basedOn w:val="1049"/>
    <w:uiPriority w:val="99"/>
    <w:semiHidden/>
    <w:unhideWhenUsed/>
    <w:qFormat/>
    <w:pPr>
      <w:spacing w:after="40" w:line="240" w:lineRule="auto"/>
    </w:pPr>
    <w:rPr>
      <w:sz w:val="18"/>
    </w:rPr>
  </w:style>
  <w:style w:type="paragraph" w:styleId="1081">
    <w:name w:val="toc 6"/>
    <w:basedOn w:val="1049"/>
    <w:next w:val="1049"/>
    <w:uiPriority w:val="39"/>
    <w:unhideWhenUsed/>
    <w:qFormat/>
    <w:pPr>
      <w:ind w:left="1417" w:right="0" w:firstLine="0"/>
      <w:spacing w:after="57"/>
    </w:pPr>
  </w:style>
  <w:style w:type="paragraph" w:styleId="1082">
    <w:name w:val="table of figures"/>
    <w:basedOn w:val="1049"/>
    <w:next w:val="1049"/>
    <w:uiPriority w:val="99"/>
    <w:unhideWhenUsed/>
    <w:qFormat/>
    <w:pPr>
      <w:spacing w:after="0" w:afterAutospacing="0"/>
    </w:pPr>
  </w:style>
  <w:style w:type="paragraph" w:styleId="1083">
    <w:name w:val="toc 2"/>
    <w:basedOn w:val="1049"/>
    <w:next w:val="1049"/>
    <w:uiPriority w:val="39"/>
    <w:unhideWhenUsed/>
    <w:qFormat/>
    <w:pPr>
      <w:ind w:left="283" w:right="0" w:firstLine="0"/>
      <w:spacing w:after="57"/>
    </w:pPr>
  </w:style>
  <w:style w:type="paragraph" w:styleId="1084">
    <w:name w:val="toc 9"/>
    <w:basedOn w:val="1049"/>
    <w:next w:val="1049"/>
    <w:uiPriority w:val="39"/>
    <w:unhideWhenUsed/>
    <w:qFormat/>
    <w:pPr>
      <w:ind w:left="2268" w:right="0" w:firstLine="0"/>
      <w:spacing w:after="57"/>
    </w:pPr>
  </w:style>
  <w:style w:type="paragraph" w:styleId="1085">
    <w:name w:val="Message Header"/>
    <w:basedOn w:val="1049"/>
    <w:uiPriority w:val="99"/>
    <w:unhideWhenUsed/>
    <w:qFormat/>
    <w:pPr>
      <w:ind w:left="1080" w:hanging="1080"/>
      <w:jc w:val="left"/>
    </w:pPr>
    <w:rPr>
      <w:rFonts w:ascii="Arial" w:hAnsi="Arial" w:cs="宋体"/>
      <w:sz w:val="22"/>
      <w:szCs w:val="22"/>
      <w:lang w:val="ja-JP" w:eastAsia="ja-JP" w:bidi="ja-JP"/>
    </w:rPr>
  </w:style>
  <w:style w:type="paragraph" w:styleId="1086">
    <w:name w:val="Normal (Web)"/>
    <w:basedOn w:val="1049"/>
    <w:uiPriority w:val="0"/>
    <w:qFormat/>
    <w:pPr>
      <w:jc w:val="left"/>
      <w:spacing w:beforeAutospacing="1" w:afterAutospacing="1"/>
    </w:pPr>
    <w:rPr>
      <w:rFonts w:cs="Times New Roman"/>
      <w:sz w:val="24"/>
    </w:rPr>
  </w:style>
  <w:style w:type="paragraph" w:styleId="1087">
    <w:name w:val="Title"/>
    <w:basedOn w:val="1049"/>
    <w:next w:val="1049"/>
    <w:uiPriority w:val="10"/>
    <w:qFormat/>
    <w:pPr>
      <w:contextualSpacing/>
      <w:spacing w:before="300" w:after="200"/>
    </w:pPr>
    <w:rPr>
      <w:sz w:val="48"/>
      <w:szCs w:val="48"/>
    </w:rPr>
  </w:style>
  <w:style w:type="paragraph" w:styleId="1088">
    <w:name w:val="Body Text First Indent"/>
    <w:basedOn w:val="1066"/>
    <w:next w:val="1081"/>
    <w:uiPriority w:val="0"/>
    <w:qFormat/>
    <w:pPr>
      <w:ind w:firstLine="420"/>
    </w:pPr>
    <w:rPr>
      <w:sz w:val="24"/>
    </w:rPr>
  </w:style>
  <w:style w:type="paragraph" w:styleId="1089">
    <w:name w:val="Body Text First Indent 2"/>
    <w:basedOn w:val="1067"/>
    <w:uiPriority w:val="0"/>
    <w:qFormat/>
    <w:pPr>
      <w:ind w:firstLine="420"/>
    </w:pPr>
  </w:style>
  <w:style w:type="table" w:styleId="1090">
    <w:name w:val="Table Grid"/>
    <w:basedOn w:val="10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endnote reference"/>
    <w:basedOn w:val="1059"/>
    <w:uiPriority w:val="99"/>
    <w:semiHidden/>
    <w:unhideWhenUsed/>
    <w:qFormat/>
    <w:rPr>
      <w:vertAlign w:val="superscript"/>
    </w:rPr>
  </w:style>
  <w:style w:type="character" w:styleId="1092">
    <w:name w:val="Hyperlink"/>
    <w:uiPriority w:val="99"/>
    <w:unhideWhenUsed/>
    <w:qFormat/>
    <w:rPr>
      <w:color w:val="0563c1" w:themeColor="hyperlink"/>
      <w:u w:val="single"/>
      <w14:textFill>
        <w14:solidFill>
          <w14:schemeClr w14:val="hlink"/>
        </w14:solidFill>
      </w14:textFill>
    </w:rPr>
  </w:style>
  <w:style w:type="character" w:styleId="1093">
    <w:name w:val="footnote reference"/>
    <w:uiPriority w:val="99"/>
    <w:unhideWhenUsed/>
    <w:qFormat/>
    <w:rPr>
      <w:vertAlign w:val="superscript"/>
    </w:rPr>
  </w:style>
  <w:style w:type="character" w:styleId="1094" w:customStyle="1">
    <w:name w:val="Heading 1 Char"/>
    <w:basedOn w:val="1059"/>
    <w:uiPriority w:val="9"/>
    <w:qFormat/>
    <w:rPr>
      <w:rFonts w:ascii="Arial" w:hAnsi="Arial" w:eastAsia="Arial" w:cs="Arial"/>
      <w:sz w:val="40"/>
      <w:szCs w:val="40"/>
    </w:rPr>
  </w:style>
  <w:style w:type="character" w:styleId="1095" w:customStyle="1">
    <w:name w:val="Heading 2 Char"/>
    <w:basedOn w:val="1059"/>
    <w:uiPriority w:val="9"/>
    <w:qFormat/>
    <w:rPr>
      <w:rFonts w:ascii="Arial" w:hAnsi="Arial" w:eastAsia="Arial" w:cs="Arial"/>
      <w:sz w:val="34"/>
    </w:rPr>
  </w:style>
  <w:style w:type="character" w:styleId="1096" w:customStyle="1">
    <w:name w:val="Heading 3 Char"/>
    <w:basedOn w:val="1059"/>
    <w:uiPriority w:val="9"/>
    <w:qFormat/>
    <w:rPr>
      <w:rFonts w:ascii="Arial" w:hAnsi="Arial" w:eastAsia="Arial" w:cs="Arial"/>
      <w:sz w:val="30"/>
      <w:szCs w:val="30"/>
    </w:rPr>
  </w:style>
  <w:style w:type="character" w:styleId="1097" w:customStyle="1">
    <w:name w:val="Heading 4 Char"/>
    <w:basedOn w:val="1059"/>
    <w:uiPriority w:val="9"/>
    <w:qFormat/>
    <w:rPr>
      <w:rFonts w:ascii="Arial" w:hAnsi="Arial" w:eastAsia="Arial" w:cs="Arial"/>
      <w:b/>
      <w:bCs/>
      <w:sz w:val="26"/>
      <w:szCs w:val="26"/>
    </w:rPr>
  </w:style>
  <w:style w:type="character" w:styleId="1098" w:customStyle="1">
    <w:name w:val="Heading 5 Char"/>
    <w:basedOn w:val="1059"/>
    <w:uiPriority w:val="9"/>
    <w:qFormat/>
    <w:rPr>
      <w:rFonts w:ascii="Arial" w:hAnsi="Arial" w:eastAsia="Arial" w:cs="Arial"/>
      <w:b/>
      <w:bCs/>
      <w:sz w:val="24"/>
      <w:szCs w:val="24"/>
    </w:rPr>
  </w:style>
  <w:style w:type="character" w:styleId="1099" w:customStyle="1">
    <w:name w:val="Heading 6 Char"/>
    <w:basedOn w:val="1059"/>
    <w:link w:val="1055"/>
    <w:uiPriority w:val="9"/>
    <w:qFormat/>
    <w:rPr>
      <w:rFonts w:ascii="Arial" w:hAnsi="Arial" w:eastAsia="Arial" w:cs="Arial"/>
      <w:b/>
      <w:bCs/>
      <w:sz w:val="22"/>
      <w:szCs w:val="22"/>
    </w:rPr>
  </w:style>
  <w:style w:type="character" w:styleId="1100" w:customStyle="1">
    <w:name w:val="Heading 7 Char"/>
    <w:basedOn w:val="1059"/>
    <w:link w:val="1056"/>
    <w:uiPriority w:val="9"/>
    <w:qFormat/>
    <w:rPr>
      <w:rFonts w:ascii="Arial" w:hAnsi="Arial" w:eastAsia="Arial" w:cs="Arial"/>
      <w:b/>
      <w:bCs/>
      <w:i/>
      <w:iCs/>
      <w:sz w:val="22"/>
      <w:szCs w:val="22"/>
    </w:rPr>
  </w:style>
  <w:style w:type="character" w:styleId="1101" w:customStyle="1">
    <w:name w:val="Heading 8 Char"/>
    <w:basedOn w:val="1059"/>
    <w:link w:val="1057"/>
    <w:uiPriority w:val="9"/>
    <w:qFormat/>
    <w:rPr>
      <w:rFonts w:ascii="Arial" w:hAnsi="Arial" w:eastAsia="Arial" w:cs="Arial"/>
      <w:i/>
      <w:iCs/>
      <w:sz w:val="22"/>
      <w:szCs w:val="22"/>
    </w:rPr>
  </w:style>
  <w:style w:type="character" w:styleId="1102" w:customStyle="1">
    <w:name w:val="Heading 9 Char"/>
    <w:basedOn w:val="1059"/>
    <w:link w:val="1058"/>
    <w:uiPriority w:val="9"/>
    <w:qFormat/>
    <w:rPr>
      <w:rFonts w:ascii="Arial" w:hAnsi="Arial" w:eastAsia="Arial" w:cs="Arial"/>
      <w:i/>
      <w:iCs/>
      <w:sz w:val="21"/>
      <w:szCs w:val="21"/>
    </w:rPr>
  </w:style>
  <w:style w:type="paragraph" w:styleId="1103">
    <w:name w:val="List Paragraph"/>
    <w:basedOn w:val="1049"/>
    <w:uiPriority w:val="34"/>
    <w:qFormat/>
    <w:pPr>
      <w:contextualSpacing/>
      <w:ind w:left="720"/>
    </w:pPr>
  </w:style>
  <w:style w:type="paragraph" w:styleId="1104">
    <w:name w:val="No Spacing"/>
    <w:uiPriority w:val="1"/>
    <w:qFormat/>
    <w:pPr>
      <w:spacing w:before="0" w:after="0" w:line="240" w:lineRule="auto"/>
    </w:pPr>
    <w:rPr>
      <w:rFonts w:hint="default" w:ascii="Times New Roman" w:hAnsi="Times New Roman" w:eastAsia="宋体" w:cs="Times New Roman"/>
    </w:rPr>
  </w:style>
  <w:style w:type="character" w:styleId="1105" w:customStyle="1">
    <w:name w:val="Title Char"/>
    <w:basedOn w:val="1059"/>
    <w:uiPriority w:val="10"/>
    <w:qFormat/>
    <w:rPr>
      <w:sz w:val="48"/>
      <w:szCs w:val="48"/>
    </w:rPr>
  </w:style>
  <w:style w:type="character" w:styleId="1106" w:customStyle="1">
    <w:name w:val="Subtitle Char"/>
    <w:basedOn w:val="1059"/>
    <w:link w:val="1079"/>
    <w:uiPriority w:val="11"/>
    <w:qFormat/>
    <w:rPr>
      <w:sz w:val="24"/>
      <w:szCs w:val="24"/>
    </w:rPr>
  </w:style>
  <w:style w:type="paragraph" w:styleId="1107">
    <w:name w:val="Quote"/>
    <w:basedOn w:val="1049"/>
    <w:next w:val="1049"/>
    <w:link w:val="1108"/>
    <w:uiPriority w:val="29"/>
    <w:qFormat/>
    <w:pPr>
      <w:ind w:left="720" w:right="720"/>
    </w:pPr>
    <w:rPr>
      <w:i/>
    </w:rPr>
  </w:style>
  <w:style w:type="character" w:styleId="1108" w:customStyle="1">
    <w:name w:val="Quote Char"/>
    <w:link w:val="1107"/>
    <w:uiPriority w:val="29"/>
    <w:qFormat/>
    <w:rPr>
      <w:i/>
    </w:rPr>
  </w:style>
  <w:style w:type="paragraph" w:styleId="1109">
    <w:name w:val="Intense Quote"/>
    <w:basedOn w:val="1049"/>
    <w:next w:val="1049"/>
    <w:link w:val="11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0" w:customStyle="1">
    <w:name w:val="Intense Quote Char"/>
    <w:link w:val="1109"/>
    <w:uiPriority w:val="30"/>
    <w:qFormat/>
    <w:rPr>
      <w:i/>
    </w:rPr>
  </w:style>
  <w:style w:type="character" w:styleId="1111" w:customStyle="1">
    <w:name w:val="Header Char"/>
    <w:basedOn w:val="1059"/>
    <w:uiPriority w:val="99"/>
    <w:qFormat/>
  </w:style>
  <w:style w:type="character" w:styleId="1112" w:customStyle="1">
    <w:name w:val="Footer Char"/>
    <w:basedOn w:val="1059"/>
    <w:uiPriority w:val="99"/>
    <w:qFormat/>
  </w:style>
  <w:style w:type="character" w:styleId="1113" w:customStyle="1">
    <w:name w:val="Caption Char"/>
    <w:uiPriority w:val="99"/>
    <w:qFormat/>
  </w:style>
  <w:style w:type="table" w:styleId="1114" w:customStyle="1">
    <w:name w:val="Table Grid Light"/>
    <w:basedOn w:val="10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5" w:customStyle="1">
    <w:name w:val="Plain Table 1"/>
    <w:basedOn w:val="10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customStyle="1">
    <w:name w:val="Plain Table 2"/>
    <w:basedOn w:val="10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3"/>
    <w:basedOn w:val="10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customStyle="1">
    <w:name w:val="Plain Table 4"/>
    <w:basedOn w:val="10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customStyle="1">
    <w:name w:val="Plain Table 5"/>
    <w:basedOn w:val="10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0" w:customStyle="1">
    <w:name w:val="Grid Table 1 Light"/>
    <w:basedOn w:val="10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1"/>
    <w:basedOn w:val="10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2"/>
    <w:basedOn w:val="10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3"/>
    <w:basedOn w:val="10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4"/>
    <w:basedOn w:val="10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5"/>
    <w:basedOn w:val="10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6"/>
    <w:basedOn w:val="10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7" w:customStyle="1">
    <w:name w:val="Grid Table 2"/>
    <w:basedOn w:val="10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8" w:customStyle="1">
    <w:name w:val="Grid Table 2 - Accent 1"/>
    <w:basedOn w:val="10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29" w:customStyle="1">
    <w:name w:val="Grid Table 2 - Accent 2"/>
    <w:basedOn w:val="10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0" w:customStyle="1">
    <w:name w:val="Grid Table 2 - Accent 3"/>
    <w:basedOn w:val="10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1" w:customStyle="1">
    <w:name w:val="Grid Table 2 - Accent 4"/>
    <w:basedOn w:val="10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32" w:customStyle="1">
    <w:name w:val="Grid Table 2 - Accent 5"/>
    <w:basedOn w:val="10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3" w:customStyle="1">
    <w:name w:val="Grid Table 2 - Accent 6"/>
    <w:basedOn w:val="10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34" w:customStyle="1">
    <w:name w:val="Grid Table 3"/>
    <w:basedOn w:val="10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1"/>
    <w:basedOn w:val="10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2"/>
    <w:basedOn w:val="10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3"/>
    <w:basedOn w:val="10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4"/>
    <w:basedOn w:val="10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5"/>
    <w:basedOn w:val="10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6"/>
    <w:basedOn w:val="10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4"/>
    <w:basedOn w:val="10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2" w:customStyle="1">
    <w:name w:val="Grid Table 4 - Accent 1"/>
    <w:basedOn w:val="10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43" w:customStyle="1">
    <w:name w:val="Grid Table 4 - Accent 2"/>
    <w:basedOn w:val="10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44" w:customStyle="1">
    <w:name w:val="Grid Table 4 - Accent 3"/>
    <w:basedOn w:val="10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5" w:customStyle="1">
    <w:name w:val="Grid Table 4 - Accent 4"/>
    <w:basedOn w:val="10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46" w:customStyle="1">
    <w:name w:val="Grid Table 4 - Accent 5"/>
    <w:basedOn w:val="10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47" w:customStyle="1">
    <w:name w:val="Grid Table 4 - Accent 6"/>
    <w:basedOn w:val="10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48" w:customStyle="1">
    <w:name w:val="Grid Table 5 Dark"/>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9" w:customStyle="1">
    <w:name w:val="Grid Table 5 Dark- Accent 1"/>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0" w:customStyle="1">
    <w:name w:val="Grid Table 5 Dark - Accent 2"/>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1" w:customStyle="1">
    <w:name w:val="Grid Table 5 Dark - Accent 3"/>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2" w:customStyle="1">
    <w:name w:val="Grid Table 5 Dark- Accent 4"/>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3" w:customStyle="1">
    <w:name w:val="Grid Table 5 Dark - Accent 5"/>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4" w:customStyle="1">
    <w:name w:val="Grid Table 5 Dark - Accent 6"/>
    <w:basedOn w:val="10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5" w:customStyle="1">
    <w:name w:val="Grid Table 6 Colorful"/>
    <w:basedOn w:val="10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6 Colorful - Accent 1"/>
    <w:basedOn w:val="10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57" w:customStyle="1">
    <w:name w:val="Grid Table 6 Colorful - Accent 2"/>
    <w:basedOn w:val="10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58" w:customStyle="1">
    <w:name w:val="Grid Table 6 Colorful - Accent 3"/>
    <w:basedOn w:val="10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59" w:customStyle="1">
    <w:name w:val="Grid Table 6 Colorful - Accent 4"/>
    <w:basedOn w:val="10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0" w:customStyle="1">
    <w:name w:val="Grid Table 6 Colorful - Accent 5"/>
    <w:basedOn w:val="10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1" w:customStyle="1">
    <w:name w:val="Grid Table 6 Colorful - Accent 6"/>
    <w:basedOn w:val="10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2" w:customStyle="1">
    <w:name w:val="Grid Table 7 Colorful"/>
    <w:basedOn w:val="10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Grid Table 7 Colorful - Accent 1"/>
    <w:basedOn w:val="10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64" w:customStyle="1">
    <w:name w:val="Grid Table 7 Colorful - Accent 2"/>
    <w:basedOn w:val="10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5" w:customStyle="1">
    <w:name w:val="Grid Table 7 Colorful - Accent 3"/>
    <w:basedOn w:val="10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66" w:customStyle="1">
    <w:name w:val="Grid Table 7 Colorful - Accent 4"/>
    <w:basedOn w:val="10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7" w:customStyle="1">
    <w:name w:val="Grid Table 7 Colorful - Accent 5"/>
    <w:basedOn w:val="10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8" w:customStyle="1">
    <w:name w:val="Grid Table 7 Colorful - Accent 6"/>
    <w:basedOn w:val="10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69" w:customStyle="1">
    <w:name w:val="List Table 1 Light"/>
    <w:basedOn w:val="10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customStyle="1">
    <w:name w:val="List Table 1 Light - Accent 1"/>
    <w:basedOn w:val="10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basedOn w:val="10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basedOn w:val="10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basedOn w:val="10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basedOn w:val="10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basedOn w:val="10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6" w:customStyle="1">
    <w:name w:val="List Table 2"/>
    <w:basedOn w:val="10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7" w:customStyle="1">
    <w:name w:val="List Table 2 - Accent 1"/>
    <w:basedOn w:val="10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8" w:customStyle="1">
    <w:name w:val="List Table 2 - Accent 2"/>
    <w:basedOn w:val="10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9" w:customStyle="1">
    <w:name w:val="List Table 2 - Accent 3"/>
    <w:basedOn w:val="10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80" w:customStyle="1">
    <w:name w:val="List Table 2 - Accent 4"/>
    <w:basedOn w:val="10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81" w:customStyle="1">
    <w:name w:val="List Table 2 - Accent 5"/>
    <w:basedOn w:val="10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2" w:customStyle="1">
    <w:name w:val="List Table 2 - Accent 6"/>
    <w:basedOn w:val="10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3" w:customStyle="1">
    <w:name w:val="List Table 3"/>
    <w:basedOn w:val="10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3 - Accent 1"/>
    <w:basedOn w:val="10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5" w:customStyle="1">
    <w:name w:val="List Table 3 - Accent 2"/>
    <w:basedOn w:val="10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86" w:customStyle="1">
    <w:name w:val="List Table 3 - Accent 3"/>
    <w:basedOn w:val="10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7" w:customStyle="1">
    <w:name w:val="List Table 3 - Accent 4"/>
    <w:basedOn w:val="10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88" w:customStyle="1">
    <w:name w:val="List Table 3 - Accent 5"/>
    <w:basedOn w:val="10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89" w:customStyle="1">
    <w:name w:val="List Table 3 - Accent 6"/>
    <w:basedOn w:val="10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90" w:customStyle="1">
    <w:name w:val="List Table 4"/>
    <w:basedOn w:val="10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List Table 4 - Accent 1"/>
    <w:basedOn w:val="10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92" w:customStyle="1">
    <w:name w:val="List Table 4 - Accent 2"/>
    <w:basedOn w:val="10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3" w:customStyle="1">
    <w:name w:val="List Table 4 - Accent 3"/>
    <w:basedOn w:val="10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4" w:customStyle="1">
    <w:name w:val="List Table 4 - Accent 4"/>
    <w:basedOn w:val="10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5" w:customStyle="1">
    <w:name w:val="List Table 4 - Accent 5"/>
    <w:basedOn w:val="10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96" w:customStyle="1">
    <w:name w:val="List Table 4 - Accent 6"/>
    <w:basedOn w:val="10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7" w:customStyle="1">
    <w:name w:val="List Table 5 Dark"/>
    <w:basedOn w:val="10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1"/>
    <w:basedOn w:val="10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2"/>
    <w:basedOn w:val="10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3"/>
    <w:basedOn w:val="10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4"/>
    <w:basedOn w:val="10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5"/>
    <w:basedOn w:val="10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6"/>
    <w:basedOn w:val="10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6 Colorful"/>
    <w:basedOn w:val="10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5" w:customStyle="1">
    <w:name w:val="List Table 6 Colorful - Accent 1"/>
    <w:basedOn w:val="10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06" w:customStyle="1">
    <w:name w:val="List Table 6 Colorful - Accent 2"/>
    <w:basedOn w:val="10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07" w:customStyle="1">
    <w:name w:val="List Table 6 Colorful - Accent 3"/>
    <w:basedOn w:val="10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08" w:customStyle="1">
    <w:name w:val="List Table 6 Colorful - Accent 4"/>
    <w:basedOn w:val="10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09" w:customStyle="1">
    <w:name w:val="List Table 6 Colorful - Accent 5"/>
    <w:basedOn w:val="10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10" w:customStyle="1">
    <w:name w:val="List Table 6 Colorful - Accent 6"/>
    <w:basedOn w:val="10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11" w:customStyle="1">
    <w:name w:val="List Table 7 Colorful"/>
    <w:basedOn w:val="10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List Table 7 Colorful - Accent 1"/>
    <w:basedOn w:val="10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13" w:customStyle="1">
    <w:name w:val="List Table 7 Colorful - Accent 2"/>
    <w:basedOn w:val="10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14" w:customStyle="1">
    <w:name w:val="List Table 7 Colorful - Accent 3"/>
    <w:basedOn w:val="10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15" w:customStyle="1">
    <w:name w:val="List Table 7 Colorful - Accent 4"/>
    <w:basedOn w:val="10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16" w:customStyle="1">
    <w:name w:val="List Table 7 Colorful - Accent 5"/>
    <w:basedOn w:val="10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17" w:customStyle="1">
    <w:name w:val="List Table 7 Colorful - Accent 6"/>
    <w:basedOn w:val="10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8" w:customStyle="1">
    <w:name w:val="Lined - Accent"/>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Lined - Accent 1"/>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0" w:customStyle="1">
    <w:name w:val="Lined - Accent 2"/>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1" w:customStyle="1">
    <w:name w:val="Lined - Accent 3"/>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2" w:customStyle="1">
    <w:name w:val="Lined - Accent 4"/>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23" w:customStyle="1">
    <w:name w:val="Lined - Accent 5"/>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4" w:customStyle="1">
    <w:name w:val="Lined - Accent 6"/>
    <w:basedOn w:val="10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5" w:customStyle="1">
    <w:name w:val="Bordered &amp; Lined - Accent"/>
    <w:basedOn w:val="10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6" w:customStyle="1">
    <w:name w:val="Bordered &amp; Lined - Accent 1"/>
    <w:basedOn w:val="10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7" w:customStyle="1">
    <w:name w:val="Bordered &amp; Lined - Accent 2"/>
    <w:basedOn w:val="10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8" w:customStyle="1">
    <w:name w:val="Bordered &amp; Lined - Accent 3"/>
    <w:basedOn w:val="10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9" w:customStyle="1">
    <w:name w:val="Bordered &amp; Lined - Accent 4"/>
    <w:basedOn w:val="10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0" w:customStyle="1">
    <w:name w:val="Bordered &amp; Lined - Accent 5"/>
    <w:basedOn w:val="10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31" w:customStyle="1">
    <w:name w:val="Bordered &amp; Lined - Accent 6"/>
    <w:basedOn w:val="10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2" w:customStyle="1">
    <w:name w:val="Bordered"/>
    <w:basedOn w:val="10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3" w:customStyle="1">
    <w:name w:val="Bordered - Accent 1"/>
    <w:basedOn w:val="10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34" w:customStyle="1">
    <w:name w:val="Bordered - Accent 2"/>
    <w:basedOn w:val="10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35" w:customStyle="1">
    <w:name w:val="Bordered - Accent 3"/>
    <w:basedOn w:val="10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6" w:customStyle="1">
    <w:name w:val="Bordered - Accent 4"/>
    <w:basedOn w:val="10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37" w:customStyle="1">
    <w:name w:val="Bordered - Accent 5"/>
    <w:basedOn w:val="10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38" w:customStyle="1">
    <w:name w:val="Bordered - Accent 6"/>
    <w:basedOn w:val="10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9" w:customStyle="1">
    <w:name w:val="Footnote Text Char"/>
    <w:uiPriority w:val="99"/>
    <w:qFormat/>
    <w:rPr>
      <w:sz w:val="18"/>
    </w:rPr>
  </w:style>
  <w:style w:type="character" w:styleId="1240" w:customStyle="1">
    <w:name w:val="Endnote Text Char"/>
    <w:link w:val="1074"/>
    <w:uiPriority w:val="99"/>
    <w:qFormat/>
    <w:rPr>
      <w:sz w:val="20"/>
    </w:rPr>
  </w:style>
  <w:style w:type="paragraph" w:styleId="1241" w:customStyle="1">
    <w:name w:val="TOC Heading"/>
    <w:uiPriority w:val="39"/>
    <w:unhideWhenUsed/>
    <w:qFormat/>
    <w:rPr>
      <w:rFonts w:hint="default" w:ascii="Times New Roman" w:hAnsi="Times New Roman" w:eastAsia="宋体" w:cs="Times New Roman"/>
    </w:rPr>
  </w:style>
  <w:style w:type="character" w:styleId="1242" w:customStyle="1">
    <w:name w:val="页眉 Char"/>
    <w:basedOn w:val="1059"/>
    <w:link w:val="1076"/>
    <w:uiPriority w:val="0"/>
    <w:qFormat/>
    <w:rPr>
      <w:rFonts w:asciiTheme="minorHAnsi" w:hAnsiTheme="minorHAnsi" w:eastAsiaTheme="minorEastAsia" w:cstheme="minorBidi"/>
      <w:sz w:val="18"/>
      <w:szCs w:val="18"/>
    </w:rPr>
  </w:style>
  <w:style w:type="character" w:styleId="1243" w:customStyle="1">
    <w:name w:val="页脚 Char"/>
    <w:basedOn w:val="1059"/>
    <w:link w:val="1075"/>
    <w:uiPriority w:val="0"/>
    <w:qFormat/>
    <w:rPr>
      <w:rFonts w:asciiTheme="minorHAnsi" w:hAnsiTheme="minorHAnsi" w:eastAsiaTheme="minorEastAsia" w:cstheme="minorBidi"/>
      <w:sz w:val="18"/>
      <w:szCs w:val="18"/>
    </w:rPr>
  </w:style>
  <w:style w:type="paragraph" w:styleId="1244" w:customStyle="1">
    <w:name w:val="标题1"/>
    <w:basedOn w:val="1049"/>
    <w:next w:val="1049"/>
    <w:uiPriority w:val="0"/>
    <w:qFormat/>
    <w:pPr>
      <w:jc w:val="center"/>
      <w:spacing w:before="240" w:after="60"/>
      <w:outlineLvl w:val="0"/>
    </w:pPr>
    <w:rPr>
      <w:rFonts w:ascii="Cambria" w:hAnsi="Cambria"/>
      <w:b/>
      <w:bCs/>
      <w:sz w:val="32"/>
      <w:szCs w:val="32"/>
    </w:rPr>
  </w:style>
  <w:style w:type="paragraph" w:styleId="1245" w:customStyle="1">
    <w:name w:val="正文11"/>
    <w:next w:val="1246"/>
    <w:uiPriority w:val="0"/>
    <w:qFormat/>
    <w:pPr>
      <w:jc w:val="both"/>
      <w:widowControl w:val="off"/>
    </w:pPr>
    <w:rPr>
      <w:rFonts w:hint="default" w:ascii="Times New Roman" w:hAnsi="Times New Roman" w:eastAsia="Arial" w:cs="Times New Roman"/>
      <w:lang w:val="en-US" w:eastAsia="zh-CN" w:bidi="ar-SA"/>
    </w:rPr>
  </w:style>
  <w:style w:type="paragraph" w:styleId="1246" w:customStyle="1">
    <w:name w:val="文本块1"/>
    <w:basedOn w:val="1245"/>
    <w:uiPriority w:val="0"/>
    <w:qFormat/>
    <w:pPr>
      <w:ind w:left="567" w:right="454" w:firstLine="498"/>
      <w:jc w:val="left"/>
      <w:widowControl/>
    </w:pPr>
    <w:rPr>
      <w:rFonts w:ascii="仿宋_GB2312" w:eastAsia="仿宋_GB2312"/>
      <w:sz w:val="30"/>
    </w:rPr>
  </w:style>
  <w:style w:type="paragraph" w:styleId="1247" w:customStyle="1">
    <w:name w:val="正文文本11"/>
    <w:basedOn w:val="1049"/>
    <w:uiPriority w:val="0"/>
    <w:qFormat/>
    <w:pPr>
      <w:spacing w:after="120"/>
    </w:pPr>
    <w:rPr>
      <w:sz w:val="28"/>
    </w:rPr>
  </w:style>
  <w:style w:type="paragraph" w:styleId="1248" w:customStyle="1">
    <w:name w:val="一级条标题"/>
    <w:basedOn w:val="1249"/>
    <w:next w:val="125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249" w:customStyle="1">
    <w:name w:val="章标题"/>
    <w:next w:val="10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0" w:customStyle="1">
    <w:name w:val="段"/>
    <w:next w:val="1251"/>
    <w:uiPriority w:val="99"/>
    <w:qFormat/>
    <w:pPr>
      <w:ind w:firstLine="200"/>
      <w:jc w:val="both"/>
    </w:pPr>
    <w:rPr>
      <w:rFonts w:hint="default" w:ascii="宋体" w:hAnsi="Times New Roman" w:eastAsia="宋体" w:cs="Times New Roman"/>
      <w:sz w:val="22"/>
      <w:lang w:val="en-US" w:eastAsia="zh-CN" w:bidi="ar-SA"/>
    </w:rPr>
  </w:style>
  <w:style w:type="paragraph" w:styleId="1251" w:customStyle="1">
    <w:name w:val="正文 A"/>
    <w:next w:val="1250"/>
    <w:uiPriority w:val="0"/>
    <w:qFormat/>
    <w:pPr>
      <w:jc w:val="both"/>
      <w:widowControl w:val="off"/>
    </w:pPr>
    <w:rPr>
      <w:rFonts w:hint="default" w:ascii="Calibri" w:hAnsi="Calibri" w:eastAsia="Calibri" w:cs="Calibri"/>
      <w:color w:val="000000"/>
      <w:sz w:val="21"/>
      <w:szCs w:val="21"/>
    </w:rPr>
  </w:style>
  <w:style w:type="paragraph" w:styleId="1252" w:customStyle="1">
    <w:name w:val="纯文本1"/>
    <w:basedOn w:val="1049"/>
    <w:uiPriority w:val="0"/>
    <w:qFormat/>
    <w:rPr>
      <w:rFonts w:ascii="宋体" w:hAnsi="Courier New"/>
      <w:szCs w:val="20"/>
    </w:rPr>
  </w:style>
  <w:style w:type="paragraph" w:styleId="1253" w:customStyle="1">
    <w:name w:val="xl33"/>
    <w:basedOn w:val="1049"/>
    <w:uiPriority w:val="0"/>
    <w:qFormat/>
    <w:pPr>
      <w:jc w:val="center"/>
      <w:spacing w:before="100" w:beforeAutospacing="1" w:after="100" w:afterAutospacing="1"/>
      <w:widowControl/>
    </w:pPr>
    <w:rPr>
      <w:rFonts w:hint="eastAsia" w:ascii="华文中宋" w:hAnsi="华文中宋" w:eastAsia="华文中宋" w:cs="Arial Unicode MS"/>
      <w:sz w:val="44"/>
      <w:szCs w:val="44"/>
    </w:rPr>
  </w:style>
  <w:style w:type="paragraph" w:styleId="125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5" w:customStyle="1">
    <w:name w:val="标题 31"/>
    <w:basedOn w:val="1049"/>
    <w:next w:val="1256"/>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1256" w:customStyle="1">
    <w:name w:val="正文缩进1"/>
    <w:basedOn w:val="1049"/>
    <w:uiPriority w:val="99"/>
    <w:unhideWhenUsed/>
    <w:qFormat/>
    <w:pPr>
      <w:ind w:firstLine="420"/>
    </w:pPr>
    <w:rPr>
      <w:szCs w:val="20"/>
    </w:rPr>
  </w:style>
  <w:style w:type="paragraph" w:styleId="1257" w:customStyle="1">
    <w:name w:val="正文文本首行缩进 21"/>
    <w:basedOn w:val="1258"/>
    <w:next w:val="1256"/>
    <w:uiPriority w:val="0"/>
    <w:qFormat/>
    <w:pPr>
      <w:ind w:left="420" w:firstLine="420"/>
      <w:jc w:val="left"/>
      <w:spacing w:after="120" w:line="276" w:lineRule="auto"/>
      <w:tabs>
        <w:tab w:val="left" w:pos="180" w:leader="none"/>
      </w:tabs>
    </w:pPr>
    <w:rPr>
      <w:sz w:val="22"/>
      <w:szCs w:val="22"/>
      <w:lang w:eastAsia="en-US"/>
    </w:rPr>
  </w:style>
  <w:style w:type="paragraph" w:styleId="1258" w:customStyle="1">
    <w:name w:val="正文文本缩进1"/>
    <w:basedOn w:val="1049"/>
    <w:next w:val="1259"/>
    <w:uiPriority w:val="0"/>
    <w:qFormat/>
    <w:pPr>
      <w:ind w:firstLine="480"/>
      <w:tabs>
        <w:tab w:val="left" w:pos="180" w:leader="none"/>
      </w:tabs>
    </w:pPr>
    <w:rPr>
      <w:color w:val="000000"/>
      <w:sz w:val="24"/>
      <w:szCs w:val="21"/>
    </w:rPr>
  </w:style>
  <w:style w:type="paragraph" w:styleId="1259" w:customStyle="1">
    <w:name w:val="寄信人地址1"/>
    <w:basedOn w:val="1049"/>
    <w:uiPriority w:val="0"/>
    <w:qFormat/>
    <w:rPr>
      <w:rFonts w:ascii="Arial" w:hAnsi="Arial"/>
    </w:rPr>
  </w:style>
  <w:style w:type="paragraph" w:styleId="1260" w:customStyle="1">
    <w:name w:val="页眉1"/>
    <w:basedOn w:val="104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261" w:customStyle="1">
    <w:name w:val="页脚1"/>
    <w:basedOn w:val="1049"/>
    <w:uiPriority w:val="0"/>
    <w:qFormat/>
    <w:pPr>
      <w:jc w:val="left"/>
      <w:tabs>
        <w:tab w:val="center" w:pos="4153" w:leader="none"/>
        <w:tab w:val="right" w:pos="8306" w:leader="none"/>
      </w:tabs>
    </w:pPr>
    <w:rPr>
      <w:sz w:val="18"/>
      <w:szCs w:val="18"/>
    </w:rPr>
  </w:style>
  <w:style w:type="paragraph" w:styleId="1262" w:customStyle="1">
    <w:name w:val="正文文本缩进11"/>
    <w:basedOn w:val="1049"/>
    <w:next w:val="1263"/>
    <w:uiPriority w:val="0"/>
    <w:qFormat/>
    <w:pPr>
      <w:ind w:firstLine="552"/>
      <w:spacing w:before="240" w:line="360" w:lineRule="auto"/>
    </w:pPr>
    <w:rPr>
      <w:rFonts w:ascii="宋体" w:hAnsi="宋体"/>
      <w:szCs w:val="20"/>
    </w:rPr>
  </w:style>
  <w:style w:type="paragraph" w:styleId="1263" w:customStyle="1">
    <w:name w:val="寄信人地址11"/>
    <w:basedOn w:val="1049"/>
    <w:uiPriority w:val="0"/>
    <w:qFormat/>
    <w:pPr>
      <w:jc w:val="left"/>
      <w:widowControl/>
    </w:pPr>
    <w:rPr>
      <w:rFonts w:ascii="@宋体" w:hAnsi="@宋体" w:eastAsia="等线"/>
      <w:sz w:val="22"/>
      <w:szCs w:val="20"/>
    </w:rPr>
  </w:style>
  <w:style w:type="paragraph" w:styleId="1264" w:customStyle="1">
    <w:name w:val="标题 21"/>
    <w:basedOn w:val="1049"/>
    <w:next w:val="1049"/>
    <w:uiPriority w:val="0"/>
    <w:qFormat/>
    <w:pPr>
      <w:jc w:val="center"/>
      <w:keepLines/>
      <w:keepNext/>
      <w:spacing w:before="260" w:after="260" w:line="416" w:lineRule="auto"/>
      <w:outlineLvl w:val="1"/>
    </w:pPr>
    <w:rPr>
      <w:rFonts w:ascii="Arial" w:hAnsi="Arial" w:eastAsia="幼圆"/>
      <w:b/>
      <w:sz w:val="44"/>
      <w:szCs w:val="20"/>
    </w:rPr>
  </w:style>
  <w:style w:type="paragraph" w:styleId="1265" w:customStyle="1">
    <w:name w:val="_Style 7"/>
    <w:basedOn w:val="1050"/>
    <w:next w:val="1049"/>
    <w:uiPriority w:val="0"/>
    <w:qFormat/>
    <w:pPr>
      <w:keepLines/>
      <w:spacing w:before="340" w:after="330" w:line="578" w:lineRule="auto"/>
      <w:outlineLvl w:val="9"/>
    </w:pPr>
    <w:rPr>
      <w:rFonts w:ascii="Times New Roman" w:eastAsia="宋体"/>
      <w:b/>
      <w:bCs/>
      <w:sz w:val="44"/>
      <w:szCs w:val="44"/>
    </w:rPr>
  </w:style>
  <w:style w:type="paragraph" w:styleId="1266" w:customStyle="1">
    <w:name w:val="Blockquote"/>
    <w:basedOn w:val="1049"/>
    <w:uiPriority w:val="0"/>
    <w:qFormat/>
    <w:pPr>
      <w:ind w:left="360" w:right="360"/>
      <w:jc w:val="left"/>
      <w:spacing w:before="100" w:after="100"/>
    </w:pPr>
    <w:rPr>
      <w:sz w:val="24"/>
      <w:szCs w:val="20"/>
    </w:rPr>
  </w:style>
  <w:style w:type="paragraph" w:styleId="1267" w:customStyle="1">
    <w:name w:val="正文文本1"/>
    <w:basedOn w:val="1049"/>
    <w:uiPriority w:val="0"/>
    <w:qFormat/>
    <w:pPr>
      <w:spacing w:after="120"/>
    </w:pPr>
  </w:style>
  <w:style w:type="paragraph" w:styleId="1268" w:customStyle="1">
    <w:name w:val="标题 11"/>
    <w:basedOn w:val="1049"/>
    <w:next w:val="1049"/>
    <w:uiPriority w:val="0"/>
    <w:qFormat/>
    <w:pPr>
      <w:keepNext/>
      <w:outlineLvl w:val="0"/>
    </w:pPr>
    <w:rPr>
      <w:rFonts w:ascii="楷体_GB2312" w:eastAsia="楷体_GB2312"/>
      <w:sz w:val="28"/>
      <w:szCs w:val="20"/>
    </w:rPr>
  </w:style>
  <w:style w:type="paragraph" w:styleId="1269" w:customStyle="1">
    <w:name w:val="目录 61"/>
    <w:basedOn w:val="1049"/>
    <w:next w:val="1049"/>
    <w:uiPriority w:val="0"/>
    <w:semiHidden/>
    <w:qFormat/>
    <w:pPr>
      <w:ind w:left="2100"/>
    </w:pPr>
  </w:style>
  <w:style w:type="paragraph" w:styleId="1270" w:customStyle="1">
    <w:name w:val="正文首行缩进1"/>
    <w:basedOn w:val="1049"/>
    <w:uiPriority w:val="0"/>
    <w:qFormat/>
    <w:pPr>
      <w:ind w:firstLine="420"/>
    </w:pPr>
  </w:style>
  <w:style w:type="paragraph" w:styleId="1271" w:customStyle="1">
    <w:name w:val="_Style 3"/>
    <w:basedOn w:val="1268"/>
    <w:next w:val="1049"/>
    <w:uiPriority w:val="0"/>
    <w:qFormat/>
    <w:pPr>
      <w:spacing w:line="578" w:lineRule="auto"/>
      <w:outlineLvl w:val="9"/>
    </w:pPr>
  </w:style>
  <w:style w:type="paragraph" w:styleId="1272" w:customStyle="1">
    <w:name w:val="正文首行缩进11"/>
    <w:basedOn w:val="1273"/>
    <w:next w:val="1049"/>
    <w:uiPriority w:val="0"/>
    <w:qFormat/>
    <w:pPr>
      <w:ind w:firstLine="200"/>
      <w:spacing w:line="360" w:lineRule="auto"/>
    </w:pPr>
    <w:rPr>
      <w:rFonts w:ascii="仿宋_GB2312" w:eastAsia="仿宋_GB2312"/>
      <w:sz w:val="30"/>
      <w:szCs w:val="30"/>
    </w:rPr>
  </w:style>
  <w:style w:type="paragraph" w:styleId="1273" w:customStyle="1">
    <w:name w:val="正文文本113"/>
    <w:basedOn w:val="1049"/>
    <w:next w:val="1248"/>
    <w:uiPriority w:val="0"/>
    <w:qFormat/>
    <w:pPr>
      <w:spacing w:after="120"/>
    </w:pPr>
    <w:rPr>
      <w:sz w:val="28"/>
    </w:rPr>
  </w:style>
  <w:style w:type="numbering" w:styleId="25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8B2083-7CEF-4A46-BCC1-7D05DD9478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杨丽华</cp:lastModifiedBy>
  <cp:revision>192</cp:revision>
  <dcterms:created xsi:type="dcterms:W3CDTF">2014-10-29T12:08:00Z</dcterms:created>
  <dcterms:modified xsi:type="dcterms:W3CDTF">2026-05-20T01:09:00Z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912251EB5B944E89B4CC4A1B16829BB2_13</vt:lpwstr>
  </property>
  <property fmtid="{D5CDD505-2E9C-101B-9397-08002B2CF9AE}" pid="4" name="KSOTemplateDocerSaveRecord">
    <vt:lpwstr>eyJoZGlkIjoiMzJhYzY0MmZmOGUyM2MyZWVkOWJjODFjYzA4MThkNzgiLCJ1c2VySWQiOiIyNTQ1NzE1In0=</vt:lpwstr>
  </property>
</Properties>
</file>